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68F64">
      <w:pPr>
        <w:pStyle w:val="151"/>
        <w:framePr w:wrap="around" w:vAnchor="page" w:hAnchor="page" w:x="1404" w:y="808"/>
        <w:spacing w:before="156" w:after="156"/>
        <w:rPr>
          <w:rFonts w:ascii="Times New Roman"/>
        </w:rPr>
      </w:pPr>
      <w:r>
        <w:rPr>
          <w:rFonts w:ascii="Times New Roman"/>
        </w:rPr>
        <w:t>ICS 83.080.01</w:t>
      </w:r>
    </w:p>
    <w:p w14:paraId="41E0DA19">
      <w:pPr>
        <w:pStyle w:val="151"/>
        <w:framePr w:wrap="around" w:vAnchor="page" w:hAnchor="page" w:x="1404" w:y="808"/>
        <w:spacing w:before="156" w:after="156"/>
        <w:rPr>
          <w:rFonts w:ascii="Times New Roman"/>
        </w:rPr>
      </w:pPr>
      <w:r>
        <w:rPr>
          <w:rFonts w:ascii="Times New Roman"/>
        </w:rPr>
        <w:t>CCS Q 22</w:t>
      </w:r>
    </w:p>
    <w:p w14:paraId="5B74E0DE">
      <w:pPr>
        <w:framePr w:w="6560" w:h="1389" w:hRule="exact" w:hSpace="181" w:vSpace="181" w:wrap="around" w:vAnchor="page" w:hAnchor="page" w:x="4324" w:y="1074" w:anchorLock="1"/>
        <w:widowControl/>
        <w:shd w:val="solid" w:color="FFFFFF" w:fill="FFFFFF"/>
        <w:spacing w:line="0" w:lineRule="atLeast"/>
        <w:ind w:firstLine="2513"/>
        <w:jc w:val="right"/>
        <w:rPr>
          <w:rFonts w:eastAsia="宋体"/>
          <w:b/>
          <w:w w:val="130"/>
          <w:kern w:val="0"/>
          <w:sz w:val="96"/>
          <w:szCs w:val="96"/>
        </w:rPr>
      </w:pPr>
      <w:bookmarkStart w:id="0" w:name="c3"/>
      <w:r>
        <w:rPr>
          <w:rFonts w:hint="eastAsia" w:eastAsia="宋体"/>
          <w:b/>
          <w:w w:val="130"/>
          <w:kern w:val="0"/>
          <w:sz w:val="96"/>
          <w:szCs w:val="96"/>
        </w:rPr>
        <w:t>CBMF</w:t>
      </w:r>
      <w:bookmarkEnd w:id="0"/>
    </w:p>
    <w:p w14:paraId="526C2611">
      <w:pPr>
        <w:framePr w:hSpace="181" w:vSpace="181" w:wrap="around" w:vAnchor="page" w:hAnchor="page" w:x="1419" w:y="2286" w:anchorLock="1"/>
        <w:widowControl/>
        <w:spacing w:before="357" w:line="280" w:lineRule="exact"/>
        <w:ind w:firstLine="960"/>
        <w:jc w:val="distribute"/>
        <w:rPr>
          <w:rFonts w:eastAsia="黑体"/>
          <w:kern w:val="0"/>
          <w:sz w:val="48"/>
          <w:szCs w:val="48"/>
        </w:rPr>
      </w:pPr>
      <w:r>
        <w:rPr>
          <w:rFonts w:eastAsia="黑体"/>
          <w:kern w:val="0"/>
          <w:sz w:val="48"/>
          <w:szCs w:val="48"/>
        </w:rPr>
        <w:t>中国建筑材料协会标准</w:t>
      </w:r>
    </w:p>
    <w:p w14:paraId="77B1A040">
      <w:pPr>
        <w:framePr w:w="9140" w:h="1242" w:hRule="exact" w:hSpace="284" w:wrap="around" w:vAnchor="page" w:hAnchor="page" w:x="1645" w:y="2910" w:anchorLock="1"/>
        <w:widowControl/>
        <w:spacing w:before="357" w:line="280" w:lineRule="exact"/>
        <w:ind w:firstLine="560"/>
        <w:jc w:val="right"/>
        <w:rPr>
          <w:rFonts w:ascii="黑体" w:hAnsi="黑体" w:eastAsia="黑体"/>
          <w:kern w:val="0"/>
          <w:sz w:val="28"/>
          <w:szCs w:val="28"/>
        </w:rPr>
      </w:pPr>
      <w:r>
        <w:rPr>
          <w:rFonts w:ascii="黑体" w:hAnsi="黑体" w:eastAsia="黑体"/>
          <w:kern w:val="0"/>
          <w:sz w:val="28"/>
          <w:szCs w:val="28"/>
        </w:rPr>
        <w:t>T</w:t>
      </w:r>
      <w:bookmarkStart w:id="1" w:name="StdNo1"/>
      <w:r>
        <w:rPr>
          <w:rFonts w:ascii="黑体" w:hAnsi="黑体" w:eastAsia="黑体"/>
          <w:kern w:val="0"/>
          <w:sz w:val="28"/>
          <w:szCs w:val="28"/>
        </w:rPr>
        <w:t>/CBMF</w:t>
      </w:r>
      <w:bookmarkEnd w:id="1"/>
      <w:r>
        <w:rPr>
          <w:rFonts w:hint="eastAsia" w:ascii="黑体" w:hAnsi="黑体" w:eastAsia="黑体"/>
          <w:kern w:val="0"/>
          <w:sz w:val="28"/>
          <w:szCs w:val="28"/>
        </w:rPr>
        <w:t>XX</w:t>
      </w:r>
      <w:r>
        <w:rPr>
          <w:rFonts w:ascii="黑体" w:hAnsi="黑体" w:eastAsia="黑体"/>
          <w:kern w:val="0"/>
          <w:sz w:val="28"/>
          <w:szCs w:val="28"/>
        </w:rPr>
        <w:t>—</w:t>
      </w:r>
      <w:r>
        <w:rPr>
          <w:rFonts w:hint="eastAsia" w:ascii="黑体" w:hAnsi="黑体" w:eastAsia="黑体"/>
          <w:kern w:val="0"/>
          <w:sz w:val="28"/>
          <w:szCs w:val="28"/>
        </w:rPr>
        <w:t>202X</w:t>
      </w:r>
    </w:p>
    <w:tbl>
      <w:tblPr>
        <w:tblStyle w:val="3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2735A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22764E33">
            <w:pPr>
              <w:framePr w:w="9140" w:h="1242" w:hRule="exact" w:hSpace="284" w:wrap="around" w:vAnchor="page" w:hAnchor="page" w:x="1645" w:y="2910" w:anchorLock="1"/>
              <w:widowControl/>
              <w:spacing w:before="57" w:line="280" w:lineRule="exact"/>
              <w:ind w:right="420"/>
              <w:rPr>
                <w:rFonts w:ascii="宋体" w:eastAsia="宋体"/>
                <w:kern w:val="0"/>
                <w:szCs w:val="21"/>
              </w:rPr>
            </w:pPr>
          </w:p>
        </w:tc>
      </w:tr>
    </w:tbl>
    <w:p w14:paraId="2343B594">
      <w:pPr>
        <w:framePr w:w="9140" w:h="1242" w:hRule="exact" w:hSpace="284" w:wrap="around" w:vAnchor="page" w:hAnchor="page" w:x="1645" w:y="2910" w:anchorLock="1"/>
        <w:widowControl/>
        <w:spacing w:before="357" w:line="280" w:lineRule="exact"/>
        <w:ind w:firstLine="560"/>
        <w:jc w:val="right"/>
        <w:rPr>
          <w:rFonts w:ascii="黑体" w:hAnsi="黑体" w:eastAsia="黑体"/>
          <w:kern w:val="0"/>
          <w:sz w:val="28"/>
          <w:szCs w:val="28"/>
        </w:rPr>
      </w:pPr>
    </w:p>
    <w:p w14:paraId="145EE07C">
      <w:pPr>
        <w:framePr w:w="9140" w:h="1242" w:hRule="exact" w:hSpace="284" w:wrap="around" w:vAnchor="page" w:hAnchor="page" w:x="1645" w:y="2910" w:anchorLock="1"/>
        <w:widowControl/>
        <w:spacing w:before="357" w:line="280" w:lineRule="exact"/>
        <w:ind w:firstLine="560"/>
        <w:jc w:val="right"/>
        <w:rPr>
          <w:rFonts w:ascii="黑体" w:hAnsi="黑体" w:eastAsia="黑体"/>
          <w:kern w:val="0"/>
          <w:sz w:val="28"/>
          <w:szCs w:val="28"/>
        </w:rPr>
      </w:pPr>
    </w:p>
    <w:p w14:paraId="58F4A855">
      <w:pPr>
        <w:framePr w:w="3997" w:h="471" w:hRule="exact" w:vSpace="181" w:wrap="around" w:vAnchor="page" w:hAnchor="page" w:x="1250" w:y="14572" w:anchorLock="1"/>
        <w:widowControl/>
        <w:ind w:firstLine="560"/>
        <w:jc w:val="left"/>
        <w:rPr>
          <w:rFonts w:eastAsia="黑体"/>
          <w:kern w:val="0"/>
          <w:sz w:val="28"/>
          <w:szCs w:val="20"/>
        </w:rPr>
      </w:pPr>
      <w:r>
        <w:rPr>
          <w:rFonts w:hint="eastAsia" w:ascii="黑体" w:eastAsia="黑体"/>
          <w:kern w:val="0"/>
          <w:sz w:val="28"/>
          <w:szCs w:val="20"/>
          <w:lang w:val="en-US" w:eastAsia="zh-CN"/>
        </w:rPr>
        <w:t>2</w:t>
      </w:r>
      <w:r>
        <w:rPr>
          <w:rFonts w:hint="eastAsia" w:ascii="黑体" w:eastAsia="黑体"/>
          <w:kern w:val="0"/>
          <w:sz w:val="28"/>
          <w:szCs w:val="20"/>
        </w:rPr>
        <w:t>0XX</w:t>
      </w:r>
      <w:r>
        <w:rPr>
          <w:rFonts w:ascii="黑体" w:eastAsia="黑体"/>
          <w:kern w:val="0"/>
          <w:sz w:val="28"/>
          <w:szCs w:val="20"/>
        </w:rPr>
        <w:t>-</w:t>
      </w:r>
      <w:r>
        <w:rPr>
          <w:rFonts w:ascii="黑体" w:eastAsia="黑体"/>
          <w:kern w:val="0"/>
          <w:sz w:val="28"/>
          <w:szCs w:val="20"/>
        </w:rPr>
        <w:fldChar w:fldCharType="begin">
          <w:ffData>
            <w:name w:val="FM"/>
            <w:enabled/>
            <w:calcOnExit w:val="0"/>
            <w:textInput>
              <w:default w:val="XX"/>
              <w:maxLength w:val="2"/>
            </w:textInput>
          </w:ffData>
        </w:fldChar>
      </w:r>
      <w:r>
        <w:rPr>
          <w:rFonts w:ascii="黑体" w:eastAsia="黑体"/>
          <w:kern w:val="0"/>
          <w:sz w:val="28"/>
          <w:szCs w:val="20"/>
        </w:rPr>
        <w:instrText xml:space="preserve"> FORMTEXT </w:instrText>
      </w:r>
      <w:r>
        <w:rPr>
          <w:rFonts w:ascii="黑体" w:eastAsia="黑体"/>
          <w:kern w:val="0"/>
          <w:sz w:val="28"/>
          <w:szCs w:val="20"/>
        </w:rPr>
        <w:fldChar w:fldCharType="separate"/>
      </w:r>
      <w:r>
        <w:rPr>
          <w:rFonts w:ascii="黑体" w:eastAsia="黑体"/>
          <w:kern w:val="0"/>
          <w:sz w:val="28"/>
          <w:szCs w:val="20"/>
        </w:rPr>
        <w:t>XX</w:t>
      </w:r>
      <w:r>
        <w:rPr>
          <w:rFonts w:ascii="黑体" w:eastAsia="黑体"/>
          <w:kern w:val="0"/>
          <w:sz w:val="28"/>
          <w:szCs w:val="20"/>
        </w:rPr>
        <w:fldChar w:fldCharType="end"/>
      </w:r>
      <w:r>
        <w:rPr>
          <w:rFonts w:ascii="黑体" w:eastAsia="黑体"/>
          <w:kern w:val="0"/>
          <w:sz w:val="28"/>
          <w:szCs w:val="20"/>
        </w:rPr>
        <w:t>-</w:t>
      </w:r>
      <w:bookmarkStart w:id="2" w:name="FD"/>
      <w:r>
        <w:rPr>
          <w:rFonts w:ascii="黑体" w:eastAsia="黑体"/>
          <w:kern w:val="0"/>
          <w:sz w:val="28"/>
          <w:szCs w:val="20"/>
        </w:rPr>
        <w:fldChar w:fldCharType="begin">
          <w:ffData>
            <w:name w:val="FD"/>
            <w:enabled/>
            <w:calcOnExit w:val="0"/>
            <w:textInput>
              <w:default w:val="XX"/>
              <w:maxLength w:val="2"/>
            </w:textInput>
          </w:ffData>
        </w:fldChar>
      </w:r>
      <w:r>
        <w:rPr>
          <w:rFonts w:ascii="黑体" w:eastAsia="黑体"/>
          <w:kern w:val="0"/>
          <w:sz w:val="28"/>
          <w:szCs w:val="20"/>
        </w:rPr>
        <w:instrText xml:space="preserve"> FORMTEXT </w:instrText>
      </w:r>
      <w:r>
        <w:rPr>
          <w:rFonts w:ascii="黑体" w:eastAsia="黑体"/>
          <w:kern w:val="0"/>
          <w:sz w:val="28"/>
          <w:szCs w:val="20"/>
        </w:rPr>
        <w:fldChar w:fldCharType="separate"/>
      </w:r>
      <w:r>
        <w:rPr>
          <w:rFonts w:ascii="黑体" w:eastAsia="黑体"/>
          <w:kern w:val="0"/>
          <w:sz w:val="28"/>
          <w:szCs w:val="20"/>
        </w:rPr>
        <w:t>XX</w:t>
      </w:r>
      <w:r>
        <w:rPr>
          <w:rFonts w:ascii="黑体" w:eastAsia="黑体"/>
          <w:kern w:val="0"/>
          <w:sz w:val="28"/>
          <w:szCs w:val="20"/>
        </w:rPr>
        <w:fldChar w:fldCharType="end"/>
      </w:r>
      <w:bookmarkEnd w:id="2"/>
      <w:r>
        <w:rPr>
          <w:rFonts w:hint="eastAsia" w:eastAsia="黑体"/>
          <w:kern w:val="0"/>
          <w:sz w:val="28"/>
          <w:szCs w:val="20"/>
        </w:rPr>
        <w:t>发布</w:t>
      </w:r>
    </w:p>
    <w:p w14:paraId="6178F7FC">
      <w:pPr>
        <w:framePr w:w="3997" w:h="471" w:hRule="exact" w:vSpace="181" w:wrap="around" w:vAnchor="page" w:hAnchor="page" w:x="6971" w:y="14588" w:anchorLock="1"/>
        <w:widowControl/>
        <w:ind w:firstLine="560"/>
        <w:jc w:val="right"/>
        <w:rPr>
          <w:rFonts w:eastAsia="黑体"/>
          <w:kern w:val="0"/>
          <w:sz w:val="28"/>
          <w:szCs w:val="20"/>
        </w:rPr>
      </w:pPr>
      <w:r>
        <w:rPr>
          <w:rFonts w:hint="eastAsia" w:ascii="黑体" w:eastAsia="黑体"/>
          <w:kern w:val="0"/>
          <w:sz w:val="28"/>
          <w:szCs w:val="20"/>
        </w:rPr>
        <w:t>20XX</w:t>
      </w:r>
      <w:r>
        <w:rPr>
          <w:rFonts w:ascii="黑体" w:eastAsia="黑体"/>
          <w:kern w:val="0"/>
          <w:sz w:val="28"/>
          <w:szCs w:val="20"/>
        </w:rPr>
        <w:t>-</w:t>
      </w:r>
      <w:bookmarkStart w:id="3" w:name="SM"/>
      <w:r>
        <w:rPr>
          <w:rFonts w:ascii="黑体" w:eastAsia="黑体"/>
          <w:kern w:val="0"/>
          <w:sz w:val="28"/>
          <w:szCs w:val="20"/>
        </w:rPr>
        <w:fldChar w:fldCharType="begin">
          <w:ffData>
            <w:name w:val="SM"/>
            <w:enabled/>
            <w:calcOnExit w:val="0"/>
            <w:textInput>
              <w:default w:val="XX"/>
              <w:maxLength w:val="2"/>
            </w:textInput>
          </w:ffData>
        </w:fldChar>
      </w:r>
      <w:r>
        <w:rPr>
          <w:rFonts w:ascii="黑体" w:eastAsia="黑体"/>
          <w:kern w:val="0"/>
          <w:sz w:val="28"/>
          <w:szCs w:val="20"/>
        </w:rPr>
        <w:instrText xml:space="preserve"> FORMTEXT </w:instrText>
      </w:r>
      <w:r>
        <w:rPr>
          <w:rFonts w:ascii="黑体" w:eastAsia="黑体"/>
          <w:kern w:val="0"/>
          <w:sz w:val="28"/>
          <w:szCs w:val="20"/>
        </w:rPr>
        <w:fldChar w:fldCharType="separate"/>
      </w:r>
      <w:r>
        <w:rPr>
          <w:rFonts w:ascii="黑体" w:eastAsia="黑体"/>
          <w:kern w:val="0"/>
          <w:sz w:val="28"/>
          <w:szCs w:val="20"/>
        </w:rPr>
        <w:t>XX</w:t>
      </w:r>
      <w:r>
        <w:rPr>
          <w:rFonts w:ascii="黑体" w:eastAsia="黑体"/>
          <w:kern w:val="0"/>
          <w:sz w:val="28"/>
          <w:szCs w:val="20"/>
        </w:rPr>
        <w:fldChar w:fldCharType="end"/>
      </w:r>
      <w:bookmarkEnd w:id="3"/>
      <w:r>
        <w:rPr>
          <w:rFonts w:ascii="黑体" w:eastAsia="黑体"/>
          <w:kern w:val="0"/>
          <w:sz w:val="28"/>
          <w:szCs w:val="20"/>
        </w:rPr>
        <w:t>-</w:t>
      </w:r>
      <w:bookmarkStart w:id="4" w:name="SD"/>
      <w:r>
        <w:rPr>
          <w:rFonts w:ascii="黑体" w:eastAsia="黑体"/>
          <w:kern w:val="0"/>
          <w:sz w:val="28"/>
          <w:szCs w:val="20"/>
        </w:rPr>
        <w:fldChar w:fldCharType="begin">
          <w:ffData>
            <w:name w:val="SD"/>
            <w:enabled/>
            <w:calcOnExit w:val="0"/>
            <w:textInput>
              <w:default w:val="XX"/>
              <w:maxLength w:val="2"/>
            </w:textInput>
          </w:ffData>
        </w:fldChar>
      </w:r>
      <w:r>
        <w:rPr>
          <w:rFonts w:ascii="黑体" w:eastAsia="黑体"/>
          <w:kern w:val="0"/>
          <w:sz w:val="28"/>
          <w:szCs w:val="20"/>
        </w:rPr>
        <w:instrText xml:space="preserve"> FORMTEXT </w:instrText>
      </w:r>
      <w:r>
        <w:rPr>
          <w:rFonts w:ascii="黑体" w:eastAsia="黑体"/>
          <w:kern w:val="0"/>
          <w:sz w:val="28"/>
          <w:szCs w:val="20"/>
        </w:rPr>
        <w:fldChar w:fldCharType="separate"/>
      </w:r>
      <w:r>
        <w:rPr>
          <w:rFonts w:ascii="黑体" w:eastAsia="黑体"/>
          <w:kern w:val="0"/>
          <w:sz w:val="28"/>
          <w:szCs w:val="20"/>
        </w:rPr>
        <w:t>XX</w:t>
      </w:r>
      <w:r>
        <w:rPr>
          <w:rFonts w:ascii="黑体" w:eastAsia="黑体"/>
          <w:kern w:val="0"/>
          <w:sz w:val="28"/>
          <w:szCs w:val="20"/>
        </w:rPr>
        <w:fldChar w:fldCharType="end"/>
      </w:r>
      <w:bookmarkEnd w:id="4"/>
      <w:r>
        <w:rPr>
          <w:rFonts w:hint="eastAsia" w:eastAsia="黑体"/>
          <w:kern w:val="0"/>
          <w:sz w:val="28"/>
          <w:szCs w:val="20"/>
        </w:rPr>
        <w:t>实施</w:t>
      </w:r>
    </w:p>
    <w:p w14:paraId="75085E88">
      <w:pPr>
        <w:framePr w:w="7938" w:h="1134" w:hRule="exact" w:hSpace="125" w:vSpace="181" w:wrap="around" w:vAnchor="page" w:hAnchor="page" w:x="2150" w:y="15310" w:anchorLock="1"/>
        <w:widowControl/>
        <w:spacing w:line="0" w:lineRule="atLeast"/>
        <w:ind w:firstLine="1048"/>
        <w:jc w:val="center"/>
        <w:rPr>
          <w:rFonts w:ascii="黑体" w:eastAsia="黑体"/>
          <w:spacing w:val="85"/>
          <w:kern w:val="0"/>
          <w:position w:val="3"/>
          <w:sz w:val="28"/>
          <w:szCs w:val="28"/>
        </w:rPr>
      </w:pPr>
      <w:r>
        <w:rPr>
          <w:rFonts w:hint="eastAsia" w:ascii="黑体" w:eastAsia="黑体"/>
          <w:spacing w:val="20"/>
          <w:w w:val="135"/>
          <w:kern w:val="0"/>
          <w:sz w:val="36"/>
          <w:szCs w:val="36"/>
        </w:rPr>
        <w:t>中国建筑材料联合会</w:t>
      </w:r>
      <w:r>
        <w:rPr>
          <w:rFonts w:hint="eastAsia" w:ascii="MS Mincho" w:hAnsi="MS Mincho" w:eastAsia="MS Mincho" w:cs="MS Mincho"/>
          <w:spacing w:val="20"/>
          <w:w w:val="135"/>
          <w:kern w:val="0"/>
          <w:sz w:val="28"/>
          <w:szCs w:val="20"/>
        </w:rPr>
        <w:t>   </w:t>
      </w:r>
      <w:r>
        <w:rPr>
          <w:rFonts w:hint="eastAsia" w:ascii="黑体" w:eastAsia="黑体"/>
          <w:spacing w:val="85"/>
          <w:kern w:val="0"/>
          <w:position w:val="3"/>
          <w:sz w:val="28"/>
          <w:szCs w:val="28"/>
        </w:rPr>
        <w:t>发布</w:t>
      </w:r>
    </w:p>
    <w:p w14:paraId="34039065">
      <w:pPr>
        <w:widowControl/>
        <w:tabs>
          <w:tab w:val="center" w:pos="4201"/>
          <w:tab w:val="right" w:leader="dot" w:pos="9298"/>
        </w:tabs>
        <w:autoSpaceDE w:val="0"/>
        <w:autoSpaceDN w:val="0"/>
        <w:rPr>
          <w:rFonts w:ascii="宋体" w:eastAsia="宋体"/>
          <w:kern w:val="0"/>
          <w:szCs w:val="20"/>
        </w:rPr>
      </w:pPr>
      <w:r>
        <w:rPr>
          <w:rFonts w:ascii="宋体" w:eastAsia="宋体"/>
          <w:color w:val="000000"/>
          <w:kern w:val="0"/>
          <w:szCs w:val="20"/>
        </w:rPr>
        <mc:AlternateContent>
          <mc:Choice Requires="wps">
            <w:drawing>
              <wp:anchor distT="0" distB="0" distL="114300" distR="114300" simplePos="0" relativeHeight="251661312" behindDoc="0" locked="0" layoutInCell="1" allowOverlap="1">
                <wp:simplePos x="0" y="0"/>
                <wp:positionH relativeFrom="margin">
                  <wp:posOffset>-88900</wp:posOffset>
                </wp:positionH>
                <wp:positionV relativeFrom="paragraph">
                  <wp:posOffset>9255125</wp:posOffset>
                </wp:positionV>
                <wp:extent cx="6121400" cy="0"/>
                <wp:effectExtent l="0" t="0" r="12700" b="1905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_x0000_s1026" o:spid="_x0000_s1026" o:spt="20" style="position:absolute;left:0pt;margin-left:-7pt;margin-top:728.75pt;height:0pt;width:482pt;mso-position-horizontal-relative:margin;z-index:251661312;mso-width-relative:page;mso-height-relative:page;" filled="f" stroked="t" coordsize="21600,21600" o:gfxdata="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dERGNkAAAAN&#10;AQAADwAAAAAAAAABACAAAAAiAAAAZHJzL2Rvd25yZXYueG1sUEsBAhQAFAAAAAgAh07iQHF2VAzi&#10;AQAAqwMAAA4AAAAAAAAAAQAgAAAAKAEAAGRycy9lMm9Eb2MueG1sUEsFBgAAAAAGAAYAWQEAAHwF&#10;AAAAAA==&#10;">
                <v:fill on="f" focussize="0,0"/>
                <v:stroke weight="1pt" color="#080000" joinstyle="round"/>
                <v:imagedata o:title=""/>
                <o:lock v:ext="edit" aspectratio="f"/>
              </v:line>
            </w:pict>
          </mc:Fallback>
        </mc:AlternateContent>
      </w:r>
      <w:r>
        <w:rPr>
          <w:rFonts w:ascii="宋体" w:eastAsia="宋体"/>
          <w:kern w:val="0"/>
          <w:szCs w:val="20"/>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2120900</wp:posOffset>
                </wp:positionV>
                <wp:extent cx="6120130" cy="0"/>
                <wp:effectExtent l="13970" t="13970" r="9525" b="5080"/>
                <wp:wrapNone/>
                <wp:docPr id="1"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67pt;height:0pt;width:481.9pt;z-index:251660288;mso-width-relative:page;mso-height-relative:page;" filled="f" stroked="t" coordsize="21600,21600" o:gfxdata="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AcT05LWAAAACQEAAA8AAAAAAAAAAQAgAAAAIgAAAGRycy9kb3du&#10;cmV2LnhtbFBLAQIUABQAAAAIAIdO4kBpfwqzyAEAAKADAAAOAAAAAAAAAAEAIAAAACUBAABkcnMv&#10;ZTJvRG9jLnhtbFBLBQYAAAAABgAGAFkBAABfBQAAAAA=&#10;">
                <v:fill on="f" focussize="0,0"/>
                <v:stroke color="#000000" joinstyle="round"/>
                <v:imagedata o:title=""/>
                <o:lock v:ext="edit" aspectratio="f"/>
              </v:line>
            </w:pict>
          </mc:Fallback>
        </mc:AlternateContent>
      </w:r>
    </w:p>
    <w:p w14:paraId="0DAB32B6">
      <w:pPr>
        <w:framePr w:w="9639" w:h="8186" w:hRule="exact" w:wrap="around" w:vAnchor="page" w:hAnchor="page" w:x="1244" w:y="5535" w:anchorLock="1"/>
        <w:spacing w:line="680" w:lineRule="exact"/>
        <w:jc w:val="center"/>
        <w:textAlignment w:val="center"/>
        <w:rPr>
          <w:rFonts w:ascii="黑体" w:eastAsia="黑体"/>
          <w:kern w:val="0"/>
          <w:sz w:val="52"/>
          <w:szCs w:val="52"/>
        </w:rPr>
      </w:pPr>
      <w:r>
        <w:rPr>
          <w:rFonts w:hint="eastAsia"/>
        </w:rPr>
        <w:tab/>
      </w:r>
      <w:bookmarkStart w:id="5" w:name="YZBS"/>
      <w:r>
        <w:rPr>
          <w:rFonts w:hint="eastAsia" w:ascii="黑体" w:eastAsia="黑体"/>
          <w:kern w:val="0"/>
          <w:sz w:val="52"/>
          <w:szCs w:val="52"/>
        </w:rPr>
        <w:t>建筑塑料制品中合成树脂种类的鉴定</w:t>
      </w:r>
    </w:p>
    <w:p w14:paraId="4ED5F715">
      <w:pPr>
        <w:framePr w:w="9639" w:h="8186" w:hRule="exact" w:wrap="around" w:vAnchor="page" w:hAnchor="page" w:x="1244" w:y="5535" w:anchorLock="1"/>
        <w:spacing w:line="680" w:lineRule="exact"/>
        <w:ind w:firstLine="1040"/>
        <w:jc w:val="center"/>
        <w:textAlignment w:val="center"/>
        <w:rPr>
          <w:rFonts w:ascii="黑体" w:eastAsia="黑体"/>
          <w:kern w:val="0"/>
          <w:sz w:val="52"/>
          <w:szCs w:val="52"/>
        </w:rPr>
      </w:pPr>
      <w:r>
        <w:rPr>
          <w:rFonts w:hint="eastAsia" w:ascii="黑体" w:eastAsia="黑体"/>
          <w:kern w:val="0"/>
          <w:sz w:val="52"/>
          <w:szCs w:val="52"/>
        </w:rPr>
        <w:t>第2部分：裂解气相色谱-质谱法</w:t>
      </w:r>
    </w:p>
    <w:p w14:paraId="2E94324B">
      <w:pPr>
        <w:framePr w:w="9639" w:h="8186" w:hRule="exact" w:wrap="around" w:vAnchor="page" w:hAnchor="page" w:x="1244" w:y="5535" w:anchorLock="1"/>
        <w:spacing w:before="180" w:after="160" w:line="180" w:lineRule="exact"/>
        <w:ind w:firstLine="560"/>
        <w:jc w:val="center"/>
        <w:textAlignment w:val="center"/>
        <w:rPr>
          <w:rFonts w:eastAsia="宋体"/>
          <w:kern w:val="0"/>
          <w:sz w:val="28"/>
          <w:szCs w:val="28"/>
        </w:rPr>
      </w:pPr>
    </w:p>
    <w:p w14:paraId="71D0BA35">
      <w:pPr>
        <w:pStyle w:val="79"/>
        <w:framePr w:h="8186" w:hRule="exact" w:wrap="around" w:x="1244" w:y="5535"/>
        <w:spacing w:line="360" w:lineRule="auto"/>
        <w:textAlignment w:val="auto"/>
        <w:rPr>
          <w:b/>
          <w:sz w:val="32"/>
          <w:szCs w:val="32"/>
        </w:rPr>
      </w:pPr>
      <w:r>
        <w:rPr>
          <w:b/>
          <w:sz w:val="32"/>
          <w:szCs w:val="32"/>
        </w:rPr>
        <w:t xml:space="preserve">Identification of synthetic resin types in building plastic products </w:t>
      </w:r>
    </w:p>
    <w:p w14:paraId="7B34A3A8">
      <w:pPr>
        <w:pStyle w:val="79"/>
        <w:framePr w:h="8186" w:hRule="exact" w:wrap="around" w:x="1244" w:y="5535"/>
        <w:spacing w:before="0" w:line="360" w:lineRule="auto"/>
        <w:textAlignment w:val="auto"/>
        <w:rPr>
          <w:b/>
          <w:sz w:val="32"/>
          <w:szCs w:val="32"/>
        </w:rPr>
      </w:pPr>
      <w:r>
        <w:rPr>
          <w:b/>
          <w:sz w:val="32"/>
          <w:szCs w:val="32"/>
        </w:rPr>
        <w:t xml:space="preserve">Part </w:t>
      </w:r>
      <w:r>
        <w:rPr>
          <w:rFonts w:hint="eastAsia"/>
          <w:b/>
          <w:sz w:val="32"/>
          <w:szCs w:val="32"/>
        </w:rPr>
        <w:t>2</w:t>
      </w:r>
      <w:r>
        <w:rPr>
          <w:b/>
          <w:sz w:val="32"/>
          <w:szCs w:val="32"/>
        </w:rPr>
        <w:t xml:space="preserve">: </w:t>
      </w:r>
      <w:r>
        <w:rPr>
          <w:rFonts w:hint="eastAsia"/>
          <w:b/>
          <w:sz w:val="32"/>
          <w:szCs w:val="32"/>
        </w:rPr>
        <w:t xml:space="preserve">Pyrolytic gas-chromatographic method using massspectrometric detection </w:t>
      </w:r>
    </w:p>
    <w:p w14:paraId="51AFC5BF">
      <w:pPr>
        <w:pStyle w:val="79"/>
        <w:framePr w:h="8186" w:hRule="exact" w:wrap="around" w:x="1244" w:y="5535"/>
        <w:spacing w:line="360" w:lineRule="auto"/>
        <w:textAlignment w:val="auto"/>
        <w:rPr>
          <w:b/>
          <w:sz w:val="32"/>
          <w:szCs w:val="32"/>
        </w:rPr>
      </w:pPr>
    </w:p>
    <w:bookmarkEnd w:id="5"/>
    <w:tbl>
      <w:tblPr>
        <w:tblStyle w:val="39"/>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50C3F4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tcPr>
          <w:p w14:paraId="3A65F674">
            <w:pPr>
              <w:framePr w:w="9639" w:h="8186" w:hRule="exact" w:wrap="around" w:vAnchor="page" w:hAnchor="page" w:x="1244" w:y="5535" w:anchorLock="1"/>
              <w:spacing w:before="440" w:line="400" w:lineRule="exact"/>
              <w:ind w:firstLine="560"/>
              <w:textAlignment w:val="center"/>
              <w:rPr>
                <w:rFonts w:ascii="宋体" w:eastAsia="宋体"/>
                <w:kern w:val="0"/>
                <w:sz w:val="28"/>
                <w:szCs w:val="28"/>
              </w:rPr>
            </w:pPr>
          </w:p>
          <w:p w14:paraId="66F1A43B">
            <w:pPr>
              <w:framePr w:w="9639" w:h="8186" w:hRule="exact" w:wrap="around" w:vAnchor="page" w:hAnchor="page" w:x="1244" w:y="5535" w:anchorLock="1"/>
              <w:spacing w:before="440" w:line="400" w:lineRule="exact"/>
              <w:ind w:firstLine="560"/>
              <w:jc w:val="center"/>
              <w:textAlignment w:val="center"/>
              <w:rPr>
                <w:rFonts w:ascii="宋体" w:eastAsia="宋体"/>
                <w:kern w:val="0"/>
                <w:sz w:val="28"/>
                <w:szCs w:val="28"/>
              </w:rPr>
            </w:pPr>
            <w:r>
              <w:rPr>
                <w:rFonts w:hint="eastAsia" w:ascii="宋体" w:eastAsia="宋体"/>
                <w:kern w:val="0"/>
                <w:sz w:val="28"/>
                <w:szCs w:val="28"/>
              </w:rPr>
              <w:t>（征求意见稿）</w:t>
            </w:r>
          </w:p>
        </w:tc>
      </w:tr>
      <w:tr w14:paraId="725331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4ECB734E">
            <w:pPr>
              <w:framePr w:w="9639" w:h="8186" w:hRule="exact" w:wrap="around" w:vAnchor="page" w:hAnchor="page" w:x="1244" w:y="5535" w:anchorLock="1"/>
              <w:spacing w:before="440" w:line="400" w:lineRule="exact"/>
              <w:ind w:firstLine="560"/>
              <w:jc w:val="center"/>
              <w:textAlignment w:val="center"/>
              <w:rPr>
                <w:rFonts w:hint="default" w:ascii="宋体" w:eastAsia="宋体"/>
                <w:kern w:val="0"/>
                <w:sz w:val="28"/>
                <w:szCs w:val="28"/>
                <w:lang w:val="en-US" w:eastAsia="zh-CN"/>
              </w:rPr>
            </w:pPr>
            <w:r>
              <w:rPr>
                <w:rFonts w:hint="eastAsia" w:ascii="宋体" w:eastAsia="宋体"/>
                <w:kern w:val="0"/>
                <w:sz w:val="28"/>
                <w:szCs w:val="28"/>
              </w:rPr>
              <w:t>2025</w:t>
            </w:r>
            <w:r>
              <w:rPr>
                <w:rFonts w:ascii="宋体" w:eastAsia="宋体"/>
                <w:kern w:val="0"/>
                <w:sz w:val="28"/>
                <w:szCs w:val="28"/>
              </w:rPr>
              <w:t>.</w:t>
            </w:r>
            <w:r>
              <w:rPr>
                <w:rFonts w:hint="eastAsia" w:ascii="宋体" w:eastAsia="宋体"/>
                <w:kern w:val="0"/>
                <w:sz w:val="28"/>
                <w:szCs w:val="28"/>
                <w:lang w:val="en-US" w:eastAsia="zh-CN"/>
              </w:rPr>
              <w:t>11</w:t>
            </w:r>
          </w:p>
        </w:tc>
      </w:tr>
    </w:tbl>
    <w:p w14:paraId="5785B48A">
      <w:pPr>
        <w:tabs>
          <w:tab w:val="left" w:pos="1273"/>
        </w:tabs>
        <w:jc w:val="left"/>
        <w:sectPr>
          <w:headerReference r:id="rId7" w:type="first"/>
          <w:footerReference r:id="rId10" w:type="first"/>
          <w:headerReference r:id="rId5" w:type="default"/>
          <w:footerReference r:id="rId8" w:type="default"/>
          <w:headerReference r:id="rId6" w:type="even"/>
          <w:footerReference r:id="rId9" w:type="even"/>
          <w:pgSz w:w="11906" w:h="16838"/>
          <w:pgMar w:top="567" w:right="850" w:bottom="1134" w:left="1418" w:header="0" w:footer="0" w:gutter="0"/>
          <w:pgNumType w:start="1"/>
          <w:cols w:space="720" w:num="1"/>
          <w:docGrid w:type="lines" w:linePitch="312" w:charSpace="0"/>
        </w:sectPr>
      </w:pPr>
    </w:p>
    <w:p w14:paraId="01ACF25A">
      <w:pPr>
        <w:pageBreakBefore/>
        <w:widowControl/>
        <w:shd w:val="clear" w:color="FFFFFF" w:fill="FFFFFF"/>
        <w:tabs>
          <w:tab w:val="center" w:pos="4201"/>
          <w:tab w:val="right" w:leader="dot" w:pos="9298"/>
        </w:tabs>
        <w:autoSpaceDE w:val="0"/>
        <w:autoSpaceDN w:val="0"/>
        <w:spacing w:before="640" w:after="560" w:line="460" w:lineRule="exact"/>
        <w:jc w:val="center"/>
        <w:outlineLvl w:val="0"/>
        <w:rPr>
          <w:rFonts w:ascii="宋体" w:eastAsia="宋体"/>
          <w:szCs w:val="21"/>
        </w:rPr>
        <w:sectPr>
          <w:headerReference r:id="rId11" w:type="default"/>
          <w:pgSz w:w="11906" w:h="16838"/>
          <w:pgMar w:top="851" w:right="1134" w:bottom="1134" w:left="1418" w:header="1418" w:footer="1134" w:gutter="0"/>
          <w:pgNumType w:start="1"/>
          <w:cols w:space="425" w:num="1"/>
          <w:docGrid w:type="lines" w:linePitch="312" w:charSpace="0"/>
        </w:sectPr>
      </w:pPr>
    </w:p>
    <w:p w14:paraId="6C5A9911">
      <w:pPr>
        <w:pStyle w:val="122"/>
        <w:keepNext w:val="0"/>
        <w:pageBreakBefore w:val="0"/>
        <w:numPr>
          <w:ilvl w:val="0"/>
          <w:numId w:val="8"/>
        </w:numPr>
      </w:pPr>
      <w:bookmarkStart w:id="6" w:name="_Toc14713"/>
      <w:r>
        <w:rPr>
          <w:rFonts w:hint="eastAsia"/>
        </w:rPr>
        <w:t>前</w:t>
      </w:r>
      <w:r>
        <w:rPr>
          <w:rFonts w:ascii="Times New Roman"/>
        </w:rPr>
        <w:t>  </w:t>
      </w:r>
      <w:r>
        <w:rPr>
          <w:rFonts w:hint="eastAsia"/>
        </w:rPr>
        <w:t>言</w:t>
      </w:r>
      <w:bookmarkEnd w:id="6"/>
    </w:p>
    <w:p w14:paraId="2A284261">
      <w:pPr>
        <w:widowControl/>
        <w:tabs>
          <w:tab w:val="center" w:pos="4201"/>
          <w:tab w:val="right" w:leader="dot" w:pos="9298"/>
        </w:tabs>
        <w:autoSpaceDE w:val="0"/>
        <w:autoSpaceDN w:val="0"/>
        <w:spacing w:line="240" w:lineRule="auto"/>
        <w:rPr>
          <w:rFonts w:eastAsia="宋体"/>
          <w:kern w:val="0"/>
          <w:szCs w:val="21"/>
        </w:rPr>
      </w:pPr>
      <w:r>
        <w:rPr>
          <w:rFonts w:eastAsia="宋体"/>
          <w:kern w:val="0"/>
          <w:szCs w:val="21"/>
        </w:rPr>
        <w:t>本文件按照GB/T 1.1-2020《标准化工作导则 第1部分：标准化文件的结构和起草规则》的规定起草。</w:t>
      </w:r>
    </w:p>
    <w:p w14:paraId="0E2AA183">
      <w:pPr>
        <w:pStyle w:val="55"/>
        <w:spacing w:after="0"/>
        <w:ind w:firstLine="420" w:firstLineChars="200"/>
        <w:jc w:val="both"/>
        <w:rPr>
          <w:rFonts w:ascii="Times New Roman" w:eastAsiaTheme="minorEastAsia"/>
        </w:rPr>
      </w:pPr>
      <w:r>
        <w:rPr>
          <w:rFonts w:ascii="Times New Roman" w:eastAsiaTheme="minorEastAsia"/>
        </w:rPr>
        <w:t>本文件是T/CBMF XX《</w:t>
      </w:r>
      <w:r>
        <w:rPr>
          <w:rFonts w:hint="eastAsia" w:ascii="Times New Roman" w:eastAsiaTheme="minorEastAsia"/>
        </w:rPr>
        <w:t>建筑塑料制品中合成树脂种类的鉴定</w:t>
      </w:r>
      <w:r>
        <w:rPr>
          <w:rFonts w:ascii="Times New Roman" w:eastAsiaTheme="minorEastAsia"/>
        </w:rPr>
        <w:t>》的第</w:t>
      </w:r>
      <w:r>
        <w:rPr>
          <w:rFonts w:hint="eastAsia" w:ascii="Times New Roman" w:eastAsiaTheme="minorEastAsia"/>
        </w:rPr>
        <w:t>2</w:t>
      </w:r>
      <w:r>
        <w:rPr>
          <w:rFonts w:ascii="Times New Roman" w:eastAsiaTheme="minorEastAsia"/>
        </w:rPr>
        <w:t>部分。T/CBMF XX已经发布了以下部分：</w:t>
      </w:r>
    </w:p>
    <w:p w14:paraId="5B7E5F5A">
      <w:pPr>
        <w:widowControl/>
        <w:tabs>
          <w:tab w:val="center" w:pos="4201"/>
          <w:tab w:val="right" w:leader="dot" w:pos="9298"/>
        </w:tabs>
        <w:autoSpaceDE w:val="0"/>
        <w:autoSpaceDN w:val="0"/>
        <w:spacing w:line="240" w:lineRule="auto"/>
        <w:rPr>
          <w:rFonts w:eastAsia="宋体"/>
          <w:kern w:val="0"/>
          <w:szCs w:val="21"/>
        </w:rPr>
      </w:pPr>
      <w:r>
        <w:rPr>
          <w:rFonts w:hint="eastAsia" w:eastAsia="宋体"/>
          <w:kern w:val="0"/>
          <w:szCs w:val="21"/>
        </w:rPr>
        <w:t>——第</w:t>
      </w:r>
      <w:r>
        <w:rPr>
          <w:rFonts w:eastAsia="宋体"/>
          <w:kern w:val="0"/>
          <w:szCs w:val="21"/>
        </w:rPr>
        <w:t>1</w:t>
      </w:r>
      <w:r>
        <w:rPr>
          <w:rFonts w:hint="eastAsia" w:eastAsia="宋体"/>
          <w:kern w:val="0"/>
          <w:szCs w:val="21"/>
        </w:rPr>
        <w:t>部分：红外光谱法</w:t>
      </w:r>
    </w:p>
    <w:p w14:paraId="380CEABF">
      <w:pPr>
        <w:widowControl/>
        <w:tabs>
          <w:tab w:val="center" w:pos="4201"/>
          <w:tab w:val="right" w:leader="dot" w:pos="9298"/>
        </w:tabs>
        <w:autoSpaceDE w:val="0"/>
        <w:autoSpaceDN w:val="0"/>
        <w:spacing w:line="240" w:lineRule="auto"/>
        <w:rPr>
          <w:rFonts w:eastAsia="宋体"/>
          <w:kern w:val="0"/>
          <w:szCs w:val="21"/>
        </w:rPr>
      </w:pPr>
      <w:r>
        <w:rPr>
          <w:rFonts w:hint="eastAsia" w:eastAsia="宋体"/>
          <w:kern w:val="0"/>
          <w:szCs w:val="21"/>
        </w:rPr>
        <w:t>——第</w:t>
      </w:r>
      <w:r>
        <w:rPr>
          <w:rFonts w:eastAsia="宋体"/>
          <w:kern w:val="0"/>
          <w:szCs w:val="21"/>
        </w:rPr>
        <w:t>2</w:t>
      </w:r>
      <w:r>
        <w:rPr>
          <w:rFonts w:hint="eastAsia" w:eastAsia="宋体"/>
          <w:kern w:val="0"/>
          <w:szCs w:val="21"/>
        </w:rPr>
        <w:t>部分：裂解气相色谱</w:t>
      </w:r>
      <w:r>
        <w:rPr>
          <w:rFonts w:eastAsia="宋体"/>
          <w:kern w:val="0"/>
          <w:szCs w:val="21"/>
        </w:rPr>
        <w:t>-</w:t>
      </w:r>
      <w:r>
        <w:rPr>
          <w:rFonts w:hint="eastAsia" w:eastAsia="宋体"/>
          <w:kern w:val="0"/>
          <w:szCs w:val="21"/>
        </w:rPr>
        <w:t>质谱法</w:t>
      </w:r>
    </w:p>
    <w:p w14:paraId="3FAE2382">
      <w:pPr>
        <w:widowControl/>
        <w:tabs>
          <w:tab w:val="center" w:pos="4201"/>
          <w:tab w:val="right" w:leader="dot" w:pos="9298"/>
        </w:tabs>
        <w:autoSpaceDE w:val="0"/>
        <w:autoSpaceDN w:val="0"/>
        <w:spacing w:line="240" w:lineRule="auto"/>
        <w:rPr>
          <w:rFonts w:eastAsia="宋体"/>
          <w:kern w:val="0"/>
          <w:szCs w:val="21"/>
        </w:rPr>
      </w:pPr>
      <w:r>
        <w:rPr>
          <w:rFonts w:eastAsia="宋体"/>
          <w:kern w:val="0"/>
          <w:szCs w:val="21"/>
        </w:rPr>
        <w:t>请注意本文件的某些内容可能涉及专利，本文件的发布机构不承担识别专利的责任。</w:t>
      </w:r>
    </w:p>
    <w:p w14:paraId="0935E20D">
      <w:pPr>
        <w:widowControl/>
        <w:tabs>
          <w:tab w:val="center" w:pos="4201"/>
          <w:tab w:val="right" w:leader="dot" w:pos="9298"/>
        </w:tabs>
        <w:autoSpaceDE w:val="0"/>
        <w:autoSpaceDN w:val="0"/>
        <w:spacing w:line="240" w:lineRule="auto"/>
        <w:rPr>
          <w:rFonts w:eastAsia="宋体"/>
          <w:kern w:val="0"/>
          <w:szCs w:val="20"/>
        </w:rPr>
      </w:pPr>
      <w:r>
        <w:rPr>
          <w:rFonts w:eastAsia="宋体"/>
          <w:kern w:val="0"/>
          <w:szCs w:val="20"/>
        </w:rPr>
        <w:t>本文件由中国建筑材料联合会提出并归口。</w:t>
      </w:r>
    </w:p>
    <w:p w14:paraId="41EA38D1">
      <w:pPr>
        <w:spacing w:line="240" w:lineRule="auto"/>
        <w:rPr>
          <w:rFonts w:eastAsia="宋体"/>
          <w:szCs w:val="24"/>
        </w:rPr>
      </w:pPr>
      <w:r>
        <w:rPr>
          <w:rFonts w:eastAsia="宋体"/>
          <w:szCs w:val="24"/>
        </w:rPr>
        <w:t>本</w:t>
      </w:r>
      <w:r>
        <w:rPr>
          <w:rFonts w:hint="eastAsia" w:eastAsia="宋体"/>
          <w:szCs w:val="24"/>
        </w:rPr>
        <w:t>文件</w:t>
      </w:r>
      <w:r>
        <w:rPr>
          <w:rFonts w:eastAsia="宋体"/>
          <w:szCs w:val="24"/>
        </w:rPr>
        <w:t>起草单位：</w:t>
      </w:r>
    </w:p>
    <w:p w14:paraId="792CF56E">
      <w:pPr>
        <w:spacing w:line="240" w:lineRule="auto"/>
        <w:rPr>
          <w:rFonts w:eastAsia="宋体"/>
          <w:szCs w:val="24"/>
        </w:rPr>
      </w:pPr>
      <w:r>
        <w:rPr>
          <w:rFonts w:eastAsia="宋体"/>
          <w:szCs w:val="24"/>
        </w:rPr>
        <w:t>本</w:t>
      </w:r>
      <w:r>
        <w:rPr>
          <w:rFonts w:hint="eastAsia" w:eastAsia="宋体"/>
          <w:szCs w:val="24"/>
        </w:rPr>
        <w:t>文件参加</w:t>
      </w:r>
      <w:r>
        <w:rPr>
          <w:rFonts w:eastAsia="宋体"/>
          <w:szCs w:val="24"/>
        </w:rPr>
        <w:t xml:space="preserve">起草单位： </w:t>
      </w:r>
    </w:p>
    <w:p w14:paraId="4A403621">
      <w:pPr>
        <w:spacing w:line="240" w:lineRule="auto"/>
      </w:pPr>
      <w:r>
        <w:rPr>
          <w:rFonts w:eastAsia="宋体"/>
          <w:szCs w:val="24"/>
        </w:rPr>
        <w:t>本</w:t>
      </w:r>
      <w:r>
        <w:rPr>
          <w:rFonts w:hint="eastAsia" w:eastAsia="宋体"/>
          <w:szCs w:val="24"/>
        </w:rPr>
        <w:t>文件主要</w:t>
      </w:r>
      <w:r>
        <w:rPr>
          <w:rFonts w:eastAsia="宋体"/>
          <w:szCs w:val="24"/>
        </w:rPr>
        <w:t>起草人：</w:t>
      </w:r>
      <w:r>
        <w:t xml:space="preserve"> </w:t>
      </w:r>
    </w:p>
    <w:p w14:paraId="0A6EA6A6">
      <w:pPr>
        <w:spacing w:line="240" w:lineRule="auto"/>
        <w:rPr>
          <w:rFonts w:eastAsia="宋体"/>
          <w:szCs w:val="24"/>
        </w:rPr>
      </w:pPr>
      <w:r>
        <w:rPr>
          <w:rFonts w:hint="eastAsia" w:eastAsia="宋体"/>
          <w:szCs w:val="24"/>
        </w:rPr>
        <w:t>本文件主要审查人：</w:t>
      </w:r>
      <w:r>
        <w:rPr>
          <w:rFonts w:eastAsia="宋体"/>
          <w:szCs w:val="24"/>
        </w:rPr>
        <w:t xml:space="preserve"> </w:t>
      </w:r>
    </w:p>
    <w:p w14:paraId="7E5DA763">
      <w:pPr>
        <w:widowControl/>
        <w:tabs>
          <w:tab w:val="center" w:pos="4201"/>
          <w:tab w:val="right" w:leader="dot" w:pos="9298"/>
        </w:tabs>
        <w:autoSpaceDE w:val="0"/>
        <w:autoSpaceDN w:val="0"/>
        <w:rPr>
          <w:rFonts w:ascii="宋体" w:eastAsia="宋体"/>
          <w:kern w:val="0"/>
          <w:szCs w:val="20"/>
        </w:rPr>
      </w:pPr>
    </w:p>
    <w:p w14:paraId="0ADBD151">
      <w:pPr>
        <w:widowControl/>
        <w:tabs>
          <w:tab w:val="center" w:pos="4201"/>
          <w:tab w:val="right" w:leader="dot" w:pos="9298"/>
        </w:tabs>
        <w:autoSpaceDE w:val="0"/>
        <w:autoSpaceDN w:val="0"/>
        <w:rPr>
          <w:rFonts w:ascii="宋体" w:eastAsia="宋体"/>
          <w:kern w:val="0"/>
          <w:szCs w:val="20"/>
        </w:rPr>
      </w:pPr>
    </w:p>
    <w:p w14:paraId="3E3B1930">
      <w:pPr>
        <w:widowControl/>
        <w:tabs>
          <w:tab w:val="center" w:pos="4201"/>
          <w:tab w:val="right" w:leader="dot" w:pos="9298"/>
        </w:tabs>
        <w:autoSpaceDE w:val="0"/>
        <w:autoSpaceDN w:val="0"/>
        <w:rPr>
          <w:rFonts w:ascii="宋体" w:eastAsia="宋体"/>
          <w:kern w:val="0"/>
          <w:szCs w:val="20"/>
        </w:rPr>
      </w:pPr>
    </w:p>
    <w:p w14:paraId="6A35CF28">
      <w:pPr>
        <w:widowControl/>
        <w:tabs>
          <w:tab w:val="center" w:pos="4201"/>
          <w:tab w:val="right" w:leader="dot" w:pos="9298"/>
        </w:tabs>
        <w:autoSpaceDE w:val="0"/>
        <w:autoSpaceDN w:val="0"/>
        <w:rPr>
          <w:rFonts w:ascii="宋体" w:eastAsia="宋体"/>
          <w:kern w:val="0"/>
          <w:szCs w:val="20"/>
        </w:rPr>
      </w:pPr>
    </w:p>
    <w:p w14:paraId="11145723">
      <w:pPr>
        <w:widowControl/>
        <w:tabs>
          <w:tab w:val="center" w:pos="4201"/>
          <w:tab w:val="right" w:leader="dot" w:pos="9298"/>
        </w:tabs>
        <w:autoSpaceDE w:val="0"/>
        <w:autoSpaceDN w:val="0"/>
        <w:rPr>
          <w:rFonts w:ascii="宋体" w:eastAsia="宋体"/>
          <w:kern w:val="0"/>
          <w:szCs w:val="20"/>
        </w:rPr>
      </w:pPr>
    </w:p>
    <w:p w14:paraId="60A6F952">
      <w:pPr>
        <w:widowControl/>
        <w:tabs>
          <w:tab w:val="center" w:pos="4201"/>
          <w:tab w:val="right" w:leader="dot" w:pos="9298"/>
        </w:tabs>
        <w:autoSpaceDE w:val="0"/>
        <w:autoSpaceDN w:val="0"/>
        <w:rPr>
          <w:rFonts w:ascii="宋体" w:eastAsia="宋体"/>
          <w:kern w:val="0"/>
          <w:szCs w:val="20"/>
        </w:rPr>
      </w:pPr>
    </w:p>
    <w:p w14:paraId="2BD46803">
      <w:pPr>
        <w:widowControl/>
        <w:tabs>
          <w:tab w:val="center" w:pos="4201"/>
          <w:tab w:val="right" w:leader="dot" w:pos="9298"/>
        </w:tabs>
        <w:autoSpaceDE w:val="0"/>
        <w:autoSpaceDN w:val="0"/>
        <w:rPr>
          <w:rFonts w:ascii="宋体" w:eastAsia="宋体"/>
          <w:kern w:val="0"/>
          <w:szCs w:val="20"/>
        </w:rPr>
      </w:pPr>
    </w:p>
    <w:p w14:paraId="35D177CA">
      <w:pPr>
        <w:widowControl/>
        <w:tabs>
          <w:tab w:val="center" w:pos="4201"/>
          <w:tab w:val="right" w:leader="dot" w:pos="9298"/>
        </w:tabs>
        <w:autoSpaceDE w:val="0"/>
        <w:autoSpaceDN w:val="0"/>
        <w:rPr>
          <w:rFonts w:ascii="宋体" w:eastAsia="宋体"/>
          <w:kern w:val="0"/>
          <w:szCs w:val="20"/>
        </w:rPr>
      </w:pPr>
    </w:p>
    <w:p w14:paraId="3B22934F">
      <w:pPr>
        <w:widowControl/>
        <w:tabs>
          <w:tab w:val="center" w:pos="4201"/>
          <w:tab w:val="right" w:leader="dot" w:pos="9298"/>
        </w:tabs>
        <w:autoSpaceDE w:val="0"/>
        <w:autoSpaceDN w:val="0"/>
        <w:rPr>
          <w:rFonts w:ascii="宋体" w:eastAsia="宋体"/>
          <w:kern w:val="0"/>
          <w:szCs w:val="20"/>
        </w:rPr>
      </w:pPr>
    </w:p>
    <w:p w14:paraId="5E29ADCC">
      <w:pPr>
        <w:widowControl/>
        <w:tabs>
          <w:tab w:val="center" w:pos="4201"/>
          <w:tab w:val="right" w:leader="dot" w:pos="9298"/>
        </w:tabs>
        <w:autoSpaceDE w:val="0"/>
        <w:autoSpaceDN w:val="0"/>
        <w:rPr>
          <w:rFonts w:ascii="宋体" w:eastAsia="宋体"/>
          <w:kern w:val="0"/>
          <w:szCs w:val="20"/>
        </w:rPr>
      </w:pPr>
    </w:p>
    <w:p w14:paraId="23CF6D57">
      <w:pPr>
        <w:widowControl/>
        <w:tabs>
          <w:tab w:val="center" w:pos="4201"/>
          <w:tab w:val="right" w:leader="dot" w:pos="9298"/>
        </w:tabs>
        <w:autoSpaceDE w:val="0"/>
        <w:autoSpaceDN w:val="0"/>
        <w:rPr>
          <w:rFonts w:ascii="宋体" w:eastAsia="宋体"/>
          <w:kern w:val="0"/>
          <w:szCs w:val="20"/>
        </w:rPr>
      </w:pPr>
    </w:p>
    <w:p w14:paraId="31D45965">
      <w:pPr>
        <w:widowControl/>
        <w:tabs>
          <w:tab w:val="center" w:pos="4201"/>
          <w:tab w:val="right" w:leader="dot" w:pos="9298"/>
        </w:tabs>
        <w:autoSpaceDE w:val="0"/>
        <w:autoSpaceDN w:val="0"/>
        <w:rPr>
          <w:rFonts w:ascii="宋体" w:eastAsia="宋体"/>
          <w:kern w:val="0"/>
          <w:szCs w:val="20"/>
        </w:rPr>
      </w:pPr>
    </w:p>
    <w:p w14:paraId="7EEFE747">
      <w:pPr>
        <w:widowControl/>
        <w:tabs>
          <w:tab w:val="center" w:pos="4201"/>
          <w:tab w:val="right" w:leader="dot" w:pos="9298"/>
        </w:tabs>
        <w:autoSpaceDE w:val="0"/>
        <w:autoSpaceDN w:val="0"/>
        <w:rPr>
          <w:rFonts w:ascii="宋体" w:eastAsia="宋体"/>
          <w:kern w:val="0"/>
          <w:szCs w:val="20"/>
        </w:rPr>
      </w:pPr>
    </w:p>
    <w:p w14:paraId="70E90C50">
      <w:pPr>
        <w:widowControl/>
        <w:tabs>
          <w:tab w:val="center" w:pos="4201"/>
          <w:tab w:val="right" w:leader="dot" w:pos="9298"/>
        </w:tabs>
        <w:autoSpaceDE w:val="0"/>
        <w:autoSpaceDN w:val="0"/>
        <w:rPr>
          <w:rFonts w:ascii="宋体" w:eastAsia="宋体"/>
          <w:kern w:val="0"/>
          <w:szCs w:val="20"/>
        </w:rPr>
        <w:sectPr>
          <w:footerReference r:id="rId12" w:type="default"/>
          <w:pgSz w:w="11906" w:h="16838"/>
          <w:pgMar w:top="851" w:right="1134" w:bottom="1134" w:left="1418" w:header="1418" w:footer="1134" w:gutter="0"/>
          <w:pgNumType w:start="1"/>
          <w:cols w:space="425" w:num="1"/>
          <w:docGrid w:type="lines" w:linePitch="312" w:charSpace="0"/>
        </w:sectPr>
      </w:pPr>
    </w:p>
    <w:p w14:paraId="5D024802">
      <w:pPr>
        <w:pStyle w:val="122"/>
        <w:keepNext w:val="0"/>
        <w:pageBreakBefore w:val="0"/>
        <w:numPr>
          <w:ilvl w:val="0"/>
          <w:numId w:val="8"/>
        </w:numPr>
      </w:pPr>
      <w:bookmarkStart w:id="7" w:name="_Toc181807710"/>
      <w:bookmarkStart w:id="8" w:name="_Toc5769"/>
      <w:r>
        <w:rPr>
          <w:rFonts w:hint="eastAsia" w:ascii="Times New Roman"/>
        </w:rPr>
        <w:t>引</w:t>
      </w:r>
      <w:r>
        <w:rPr>
          <w:rFonts w:ascii="Times New Roman"/>
        </w:rPr>
        <w:t>  </w:t>
      </w:r>
      <w:r>
        <w:rPr>
          <w:rFonts w:hint="eastAsia"/>
        </w:rPr>
        <w:t>言</w:t>
      </w:r>
      <w:bookmarkEnd w:id="7"/>
      <w:bookmarkEnd w:id="8"/>
    </w:p>
    <w:p w14:paraId="03442B09">
      <w:pPr>
        <w:pStyle w:val="6"/>
        <w:numPr>
          <w:ilvl w:val="0"/>
          <w:numId w:val="8"/>
        </w:numPr>
        <w:ind w:firstLineChars="0"/>
        <w:rPr>
          <w:rFonts w:ascii="Times New Roman"/>
          <w:szCs w:val="21"/>
        </w:rPr>
      </w:pPr>
      <w:r>
        <w:rPr>
          <w:rFonts w:hint="eastAsia" w:ascii="Times New Roman"/>
          <w:szCs w:val="21"/>
        </w:rPr>
        <w:t>塑料是以合成树脂为主要成分，添加各种填料、增塑剂、润滑剂、稳定剂等辅助材料加工制成的高分子材料，树脂的性质通常决定了塑料的基本性质。以塑料为主的高分子材料在建筑材料领域中占比逐年增大。但随着塑料制品的种类和材料配方体系越来越复杂，对塑料制品的分析和鉴定越来越困难，对于建筑材料中合成树脂种类的鉴定需求难以实现。本系列标准的制定可高效准确的鉴定建筑塑料制品中合成树脂的种类，对建筑材料的成分分析、质量控制以及再生分类具有重要意义。</w:t>
      </w:r>
    </w:p>
    <w:p w14:paraId="70BEC313">
      <w:pPr>
        <w:widowControl/>
        <w:spacing w:line="240" w:lineRule="auto"/>
        <w:jc w:val="left"/>
        <w:rPr>
          <w:kern w:val="0"/>
          <w:szCs w:val="20"/>
        </w:rPr>
      </w:pPr>
      <w:r>
        <w:rPr>
          <w:rFonts w:hint="eastAsia"/>
          <w:kern w:val="0"/>
          <w:szCs w:val="20"/>
        </w:rPr>
        <w:t xml:space="preserve">T/CBMF </w:t>
      </w:r>
      <w:r>
        <w:rPr>
          <w:kern w:val="0"/>
          <w:szCs w:val="20"/>
        </w:rPr>
        <w:t>XX</w:t>
      </w:r>
      <w:r>
        <w:rPr>
          <w:rFonts w:hint="eastAsia"/>
          <w:kern w:val="0"/>
          <w:szCs w:val="20"/>
        </w:rPr>
        <w:t>《建筑塑料制品中合成树脂种类的鉴定》是</w:t>
      </w:r>
      <w:r>
        <w:rPr>
          <w:rFonts w:hint="eastAsia"/>
          <w:szCs w:val="21"/>
        </w:rPr>
        <w:t>建筑塑料制品中合成树脂的种类鉴定</w:t>
      </w:r>
      <w:r>
        <w:rPr>
          <w:rFonts w:hint="eastAsia"/>
          <w:kern w:val="0"/>
          <w:szCs w:val="20"/>
        </w:rPr>
        <w:t>方法的系列标准，为了保证文件的可用性，将文件编制成若干部分，拟由以下部分构成：</w:t>
      </w:r>
    </w:p>
    <w:p w14:paraId="003A8DCD">
      <w:pPr>
        <w:widowControl/>
        <w:tabs>
          <w:tab w:val="center" w:pos="4201"/>
          <w:tab w:val="right" w:leader="dot" w:pos="9298"/>
        </w:tabs>
        <w:autoSpaceDE w:val="0"/>
        <w:autoSpaceDN w:val="0"/>
        <w:spacing w:line="240" w:lineRule="auto"/>
        <w:rPr>
          <w:rFonts w:eastAsia="宋体"/>
          <w:kern w:val="0"/>
          <w:szCs w:val="21"/>
        </w:rPr>
      </w:pPr>
      <w:r>
        <w:rPr>
          <w:rFonts w:hint="eastAsia" w:eastAsia="宋体"/>
          <w:kern w:val="0"/>
          <w:szCs w:val="21"/>
        </w:rPr>
        <w:t>——第</w:t>
      </w:r>
      <w:r>
        <w:rPr>
          <w:rFonts w:eastAsia="宋体"/>
          <w:kern w:val="0"/>
          <w:szCs w:val="21"/>
        </w:rPr>
        <w:t>1</w:t>
      </w:r>
      <w:r>
        <w:rPr>
          <w:rFonts w:hint="eastAsia" w:eastAsia="宋体"/>
          <w:kern w:val="0"/>
          <w:szCs w:val="21"/>
        </w:rPr>
        <w:t>部分：红外光谱法</w:t>
      </w:r>
    </w:p>
    <w:p w14:paraId="415FCA57">
      <w:pPr>
        <w:widowControl/>
        <w:tabs>
          <w:tab w:val="center" w:pos="4201"/>
          <w:tab w:val="right" w:leader="dot" w:pos="9298"/>
        </w:tabs>
        <w:autoSpaceDE w:val="0"/>
        <w:autoSpaceDN w:val="0"/>
        <w:spacing w:line="240" w:lineRule="auto"/>
        <w:rPr>
          <w:rFonts w:eastAsia="宋体"/>
          <w:kern w:val="0"/>
          <w:szCs w:val="21"/>
        </w:rPr>
      </w:pPr>
      <w:r>
        <w:rPr>
          <w:rFonts w:hint="eastAsia" w:eastAsia="宋体"/>
          <w:kern w:val="0"/>
          <w:szCs w:val="21"/>
        </w:rPr>
        <w:t>——第</w:t>
      </w:r>
      <w:r>
        <w:rPr>
          <w:rFonts w:eastAsia="宋体"/>
          <w:kern w:val="0"/>
          <w:szCs w:val="21"/>
        </w:rPr>
        <w:t>2</w:t>
      </w:r>
      <w:r>
        <w:rPr>
          <w:rFonts w:hint="eastAsia" w:eastAsia="宋体"/>
          <w:kern w:val="0"/>
          <w:szCs w:val="21"/>
        </w:rPr>
        <w:t>部分：裂解气相色谱</w:t>
      </w:r>
      <w:r>
        <w:rPr>
          <w:rFonts w:eastAsia="宋体"/>
          <w:kern w:val="0"/>
          <w:szCs w:val="21"/>
        </w:rPr>
        <w:t>-</w:t>
      </w:r>
      <w:r>
        <w:rPr>
          <w:rFonts w:hint="eastAsia" w:eastAsia="宋体"/>
          <w:kern w:val="0"/>
          <w:szCs w:val="21"/>
        </w:rPr>
        <w:t>质谱法</w:t>
      </w:r>
    </w:p>
    <w:p w14:paraId="2F76FE4B">
      <w:pPr>
        <w:spacing w:line="240" w:lineRule="auto"/>
        <w:sectPr>
          <w:footerReference r:id="rId13" w:type="default"/>
          <w:pgSz w:w="11906" w:h="16838"/>
          <w:pgMar w:top="851" w:right="1134" w:bottom="1134" w:left="1418" w:header="1418" w:footer="1134" w:gutter="0"/>
          <w:pgNumType w:start="1"/>
          <w:cols w:space="425" w:num="1"/>
          <w:docGrid w:type="lines" w:linePitch="312" w:charSpace="0"/>
        </w:sectPr>
      </w:pPr>
      <w:r>
        <w:t xml:space="preserve">    </w:t>
      </w:r>
      <w:r>
        <w:rPr>
          <w:rFonts w:hint="eastAsia"/>
          <w:szCs w:val="21"/>
        </w:rPr>
        <w:t>本文件是T/C</w:t>
      </w:r>
      <w:r>
        <w:rPr>
          <w:szCs w:val="21"/>
        </w:rPr>
        <w:t>BMF XX</w:t>
      </w:r>
      <w:r>
        <w:rPr>
          <w:rFonts w:hint="eastAsia"/>
          <w:szCs w:val="21"/>
        </w:rPr>
        <w:t>的第2部分</w:t>
      </w:r>
      <w:r>
        <w:rPr>
          <w:rFonts w:hint="eastAsia"/>
        </w:rPr>
        <w:t>。本文件针对</w:t>
      </w:r>
      <w:r>
        <w:rPr>
          <w:rFonts w:hint="eastAsia"/>
          <w:szCs w:val="21"/>
        </w:rPr>
        <w:t>建筑塑料制品中合成树脂的种类鉴定</w:t>
      </w:r>
      <w:r>
        <w:rPr>
          <w:rFonts w:hint="eastAsia"/>
        </w:rPr>
        <w:t>，建立了通过</w:t>
      </w:r>
      <w:r>
        <w:rPr>
          <w:rFonts w:hint="eastAsia" w:eastAsia="宋体"/>
          <w:kern w:val="0"/>
          <w:szCs w:val="21"/>
        </w:rPr>
        <w:t>裂解气相色谱</w:t>
      </w:r>
      <w:r>
        <w:rPr>
          <w:rFonts w:eastAsia="宋体"/>
          <w:kern w:val="0"/>
          <w:szCs w:val="21"/>
        </w:rPr>
        <w:t>-</w:t>
      </w:r>
      <w:r>
        <w:rPr>
          <w:rFonts w:hint="eastAsia" w:eastAsia="宋体"/>
          <w:kern w:val="0"/>
          <w:szCs w:val="21"/>
        </w:rPr>
        <w:t>质谱法</w:t>
      </w:r>
      <w:r>
        <w:rPr>
          <w:rFonts w:hint="eastAsia"/>
        </w:rPr>
        <w:t>测试建筑塑料制品中合成树脂种类的分析方法，规定了该测试方法的相关技术要求。</w:t>
      </w:r>
    </w:p>
    <w:p w14:paraId="7281796C">
      <w:pPr>
        <w:pageBreakBefore/>
        <w:widowControl/>
        <w:shd w:val="clear" w:color="FFFFFF" w:fill="FFFFFF"/>
        <w:spacing w:before="640" w:after="560" w:line="460" w:lineRule="exact"/>
        <w:ind w:firstLine="0" w:firstLineChars="0"/>
        <w:jc w:val="center"/>
        <w:outlineLvl w:val="0"/>
        <w:rPr>
          <w:rFonts w:ascii="黑体" w:eastAsia="黑体"/>
          <w:kern w:val="0"/>
          <w:sz w:val="32"/>
          <w:szCs w:val="20"/>
        </w:rPr>
      </w:pPr>
      <w:bookmarkStart w:id="9" w:name="_Toc32495"/>
      <w:r>
        <w:rPr>
          <w:rFonts w:hint="eastAsia" w:ascii="黑体" w:eastAsia="黑体"/>
          <w:kern w:val="0"/>
          <w:sz w:val="32"/>
          <w:szCs w:val="20"/>
        </w:rPr>
        <w:t>建筑塑料制品中合成树脂种类的鉴定                                第2部分：裂解气相色谱-质谱法</w:t>
      </w:r>
      <w:bookmarkEnd w:id="9"/>
    </w:p>
    <w:p w14:paraId="2A0DBA78">
      <w:pPr>
        <w:pStyle w:val="2"/>
        <w:spacing w:before="312" w:beforeLines="100" w:after="312" w:afterLines="100" w:line="240" w:lineRule="auto"/>
        <w:ind w:firstLineChars="0"/>
      </w:pPr>
      <w:bookmarkStart w:id="10" w:name="_Toc37259758"/>
      <w:bookmarkStart w:id="11" w:name="_Toc37256412"/>
      <w:bookmarkStart w:id="12" w:name="_Toc37598364"/>
      <w:bookmarkStart w:id="13" w:name="_Toc32682"/>
      <w:bookmarkStart w:id="14" w:name="_Toc40344641"/>
      <w:bookmarkStart w:id="15" w:name="_Toc40349439"/>
      <w:bookmarkStart w:id="16" w:name="_Toc14412"/>
      <w:bookmarkStart w:id="17" w:name="_Toc104306820"/>
      <w:bookmarkStart w:id="18" w:name="_Toc47096264"/>
      <w:bookmarkStart w:id="19" w:name="_Toc37260779"/>
      <w:bookmarkStart w:id="20" w:name="_Toc37666086"/>
      <w:bookmarkStart w:id="21" w:name="_Toc52122398"/>
      <w:bookmarkStart w:id="22" w:name="_Toc104308204"/>
      <w:bookmarkStart w:id="23" w:name="_Toc104307057"/>
      <w:bookmarkStart w:id="24" w:name="_Toc47546552"/>
      <w:bookmarkStart w:id="25" w:name="_Toc104306273"/>
      <w:bookmarkStart w:id="26" w:name="_Toc37235249"/>
      <w:bookmarkStart w:id="27" w:name="_Toc19423"/>
      <w:bookmarkStart w:id="28" w:name="_Toc35352491"/>
      <w:bookmarkStart w:id="29" w:name="_Toc35352688"/>
      <w:bookmarkStart w:id="30" w:name="_Toc27566892"/>
      <w:bookmarkStart w:id="31" w:name="_Toc27567219"/>
      <w:bookmarkStart w:id="32" w:name="_Toc11682032"/>
      <w:r>
        <w:rPr>
          <w:rFonts w:hint="eastAsia"/>
        </w:rPr>
        <w:t>范围</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8B71C70">
      <w:pPr>
        <w:widowControl/>
        <w:tabs>
          <w:tab w:val="center" w:pos="4201"/>
          <w:tab w:val="right" w:leader="dot" w:pos="9298"/>
        </w:tabs>
        <w:autoSpaceDE w:val="0"/>
        <w:autoSpaceDN w:val="0"/>
        <w:spacing w:line="240" w:lineRule="auto"/>
        <w:rPr>
          <w:rFonts w:eastAsia="宋体"/>
          <w:kern w:val="0"/>
          <w:szCs w:val="21"/>
        </w:rPr>
      </w:pPr>
      <w:r>
        <w:rPr>
          <w:rFonts w:hint="eastAsia" w:eastAsia="宋体"/>
          <w:kern w:val="0"/>
          <w:szCs w:val="21"/>
        </w:rPr>
        <w:t>本文件中规定了使用裂解气相色谱-质谱法对建筑塑料制品中合成树脂种类进行鉴定的方法。</w:t>
      </w:r>
      <w:bookmarkEnd w:id="27"/>
      <w:bookmarkEnd w:id="28"/>
      <w:bookmarkEnd w:id="29"/>
      <w:bookmarkEnd w:id="30"/>
      <w:bookmarkEnd w:id="31"/>
      <w:bookmarkEnd w:id="32"/>
    </w:p>
    <w:p w14:paraId="6C5F990F">
      <w:pPr>
        <w:widowControl/>
        <w:tabs>
          <w:tab w:val="center" w:pos="4201"/>
          <w:tab w:val="right" w:leader="dot" w:pos="9298"/>
        </w:tabs>
        <w:autoSpaceDE w:val="0"/>
        <w:autoSpaceDN w:val="0"/>
        <w:spacing w:line="240" w:lineRule="auto"/>
        <w:ind w:firstLine="400"/>
      </w:pPr>
      <w:r>
        <w:rPr>
          <w:rStyle w:val="167"/>
        </w:rPr>
        <w:t>本</w:t>
      </w:r>
      <w:r>
        <w:rPr>
          <w:rStyle w:val="167"/>
          <w:rFonts w:hint="eastAsia"/>
        </w:rPr>
        <w:t>文件适用于建筑塑料制品树脂种类的鉴定</w:t>
      </w:r>
      <w:bookmarkStart w:id="33" w:name="_Toc104307058"/>
      <w:bookmarkStart w:id="34" w:name="_Toc104306821"/>
      <w:bookmarkStart w:id="35" w:name="_Toc37259759"/>
      <w:bookmarkStart w:id="36" w:name="_Toc11145"/>
      <w:bookmarkStart w:id="37" w:name="_Toc47546553"/>
      <w:bookmarkStart w:id="38" w:name="_Toc37598365"/>
      <w:bookmarkStart w:id="39" w:name="_Toc52122399"/>
      <w:bookmarkStart w:id="40" w:name="_Toc40344642"/>
      <w:bookmarkStart w:id="41" w:name="_Toc104306274"/>
      <w:bookmarkStart w:id="42" w:name="_Toc104308205"/>
      <w:bookmarkStart w:id="43" w:name="_Toc47096265"/>
      <w:bookmarkStart w:id="44" w:name="_Toc40349440"/>
      <w:bookmarkStart w:id="45" w:name="_Toc37256413"/>
      <w:bookmarkStart w:id="46" w:name="_Toc37260780"/>
      <w:bookmarkStart w:id="47" w:name="_Toc37235250"/>
      <w:bookmarkStart w:id="48" w:name="_Toc37666087"/>
      <w:r>
        <w:rPr>
          <w:rStyle w:val="167"/>
          <w:rFonts w:hint="eastAsia"/>
        </w:rPr>
        <w:t>。</w:t>
      </w:r>
    </w:p>
    <w:p w14:paraId="23827D52">
      <w:pPr>
        <w:pStyle w:val="2"/>
        <w:spacing w:before="312" w:beforeLines="100" w:after="312" w:afterLines="100" w:line="240" w:lineRule="auto"/>
        <w:ind w:firstLineChars="0"/>
      </w:pPr>
      <w:bookmarkStart w:id="49" w:name="_Toc26018"/>
      <w:r>
        <w:rPr>
          <w:rFonts w:hint="eastAsia"/>
        </w:rPr>
        <w:t>规范性引用文件</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B849289">
      <w:pPr>
        <w:widowControl/>
        <w:tabs>
          <w:tab w:val="center" w:pos="4201"/>
          <w:tab w:val="right" w:leader="dot" w:pos="9298"/>
        </w:tabs>
        <w:autoSpaceDE w:val="0"/>
        <w:autoSpaceDN w:val="0"/>
        <w:spacing w:line="240" w:lineRule="auto"/>
        <w:rPr>
          <w:rFonts w:eastAsia="宋体"/>
          <w:kern w:val="0"/>
          <w:szCs w:val="20"/>
        </w:rPr>
      </w:pPr>
      <w:r>
        <w:rPr>
          <w:rFonts w:eastAsia="宋体"/>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E88D921">
      <w:pPr>
        <w:spacing w:line="240" w:lineRule="auto"/>
        <w:jc w:val="left"/>
        <w:rPr>
          <w:rFonts w:eastAsia="宋体"/>
        </w:rPr>
      </w:pPr>
      <w:r>
        <w:rPr>
          <w:rFonts w:hint="eastAsia" w:eastAsia="宋体"/>
        </w:rPr>
        <w:t>GB/T 2035-2024 塑料术语及定义</w:t>
      </w:r>
    </w:p>
    <w:p w14:paraId="0859C3FD">
      <w:pPr>
        <w:spacing w:line="240" w:lineRule="auto"/>
        <w:jc w:val="left"/>
        <w:rPr>
          <w:rFonts w:eastAsia="宋体"/>
        </w:rPr>
      </w:pPr>
      <w:r>
        <w:rPr>
          <w:rFonts w:hint="eastAsia" w:eastAsia="宋体"/>
        </w:rPr>
        <w:t>GB</w:t>
      </w:r>
      <w:r>
        <w:rPr>
          <w:rFonts w:eastAsia="宋体"/>
        </w:rPr>
        <w:t>/</w:t>
      </w:r>
      <w:r>
        <w:rPr>
          <w:rFonts w:hint="eastAsia" w:eastAsia="宋体"/>
        </w:rPr>
        <w:t>T</w:t>
      </w:r>
      <w:r>
        <w:rPr>
          <w:rFonts w:eastAsia="宋体"/>
        </w:rPr>
        <w:t xml:space="preserve"> </w:t>
      </w:r>
      <w:r>
        <w:rPr>
          <w:rFonts w:hint="eastAsia" w:eastAsia="宋体"/>
        </w:rPr>
        <w:t>16288 塑料制品的标志</w:t>
      </w:r>
    </w:p>
    <w:p w14:paraId="39C97C5B">
      <w:pPr>
        <w:pStyle w:val="2"/>
        <w:spacing w:before="312" w:beforeLines="100" w:after="312" w:afterLines="100" w:line="360" w:lineRule="auto"/>
        <w:ind w:firstLineChars="0"/>
      </w:pPr>
      <w:bookmarkStart w:id="50" w:name="_Toc31087"/>
      <w:r>
        <w:rPr>
          <w:rFonts w:hint="eastAsia"/>
        </w:rPr>
        <w:t>术语和定义</w:t>
      </w:r>
      <w:bookmarkEnd w:id="50"/>
    </w:p>
    <w:p w14:paraId="0C8718B6">
      <w:pPr>
        <w:spacing w:line="240" w:lineRule="auto"/>
      </w:pPr>
      <w:r>
        <w:rPr>
          <w:rFonts w:hint="eastAsia"/>
        </w:rPr>
        <w:t>本文件没有需要界定的术语和定义。</w:t>
      </w:r>
    </w:p>
    <w:p w14:paraId="6F97E706">
      <w:pPr>
        <w:pStyle w:val="2"/>
        <w:spacing w:before="312" w:beforeLines="100" w:after="312" w:afterLines="100" w:line="240" w:lineRule="auto"/>
        <w:ind w:firstLineChars="0"/>
      </w:pPr>
      <w:bookmarkStart w:id="51" w:name="_Toc12896"/>
      <w:bookmarkStart w:id="52" w:name="_Toc27567223"/>
      <w:bookmarkStart w:id="53" w:name="_Toc27566896"/>
      <w:bookmarkStart w:id="54" w:name="_Toc36282338"/>
      <w:bookmarkStart w:id="55" w:name="_Toc35352692"/>
      <w:bookmarkStart w:id="56" w:name="_Toc11682036"/>
      <w:bookmarkStart w:id="57" w:name="_Toc30004"/>
      <w:r>
        <w:rPr>
          <w:rFonts w:hint="eastAsia"/>
        </w:rPr>
        <w:t>原理</w:t>
      </w:r>
      <w:bookmarkEnd w:id="51"/>
    </w:p>
    <w:p w14:paraId="6E3DC6F9">
      <w:pPr>
        <w:spacing w:line="240" w:lineRule="auto"/>
      </w:pPr>
      <w:r>
        <w:rPr>
          <w:rFonts w:hint="eastAsia"/>
        </w:rPr>
        <w:t>样品经制备后置于裂解装置中进行热裂解，热裂解产物进入气相色谱-质谱仪进行分析，通过对特定色谱峰的质谱图解析来进行结果分析，也可通过与已知样品或谱库比对，进行鉴定。</w:t>
      </w:r>
    </w:p>
    <w:bookmarkEnd w:id="52"/>
    <w:bookmarkEnd w:id="53"/>
    <w:bookmarkEnd w:id="54"/>
    <w:bookmarkEnd w:id="55"/>
    <w:bookmarkEnd w:id="56"/>
    <w:bookmarkEnd w:id="57"/>
    <w:p w14:paraId="0A79A2AE">
      <w:pPr>
        <w:pStyle w:val="2"/>
        <w:spacing w:before="312" w:beforeLines="100" w:after="312" w:afterLines="100" w:line="240" w:lineRule="auto"/>
        <w:ind w:firstLineChars="0"/>
      </w:pPr>
      <w:bookmarkStart w:id="58" w:name="_Toc6708"/>
      <w:r>
        <w:rPr>
          <w:rFonts w:hint="eastAsia"/>
        </w:rPr>
        <w:t>仪器设备与材料</w:t>
      </w:r>
      <w:bookmarkEnd w:id="58"/>
    </w:p>
    <w:p w14:paraId="1FD40E61">
      <w:pPr>
        <w:pStyle w:val="3"/>
        <w:spacing w:before="156" w:beforeLines="50" w:after="156" w:afterLines="50" w:line="240" w:lineRule="auto"/>
        <w:ind w:firstLineChars="0"/>
      </w:pPr>
      <w:r>
        <w:rPr>
          <w:rFonts w:hint="eastAsia"/>
        </w:rPr>
        <w:t>裂解系统</w:t>
      </w:r>
    </w:p>
    <w:p w14:paraId="78AE59AC">
      <w:pPr>
        <w:spacing w:line="240" w:lineRule="auto"/>
      </w:pPr>
      <w:r>
        <w:rPr>
          <w:rFonts w:hint="eastAsia"/>
        </w:rPr>
        <w:t>树脂在高温下分解成可用色谱分析的挥发性产物。可以分别设置温度、时间等裂解参数，常见的类型有铂金丝裂解器、居里点裂解器和微型炉裂解器。</w:t>
      </w:r>
    </w:p>
    <w:p w14:paraId="229DA46E">
      <w:pPr>
        <w:pStyle w:val="3"/>
        <w:spacing w:before="156" w:beforeLines="50" w:after="156" w:afterLines="50" w:line="240" w:lineRule="auto"/>
        <w:ind w:firstLineChars="0"/>
      </w:pPr>
      <w:r>
        <w:rPr>
          <w:rFonts w:hint="eastAsia"/>
        </w:rPr>
        <w:t>气相色谱质谱联用仪</w:t>
      </w:r>
    </w:p>
    <w:p w14:paraId="5D5571DF">
      <w:r>
        <w:rPr>
          <w:rFonts w:hint="eastAsia"/>
        </w:rPr>
        <w:t>配置质谱检测器（EI源）的气相色谱仪，可与热裂解器进行连接。</w:t>
      </w:r>
    </w:p>
    <w:p w14:paraId="4DA758D9">
      <w:pPr>
        <w:pStyle w:val="3"/>
        <w:ind w:firstLineChars="0"/>
      </w:pPr>
      <w:r>
        <w:rPr>
          <w:rFonts w:hint="eastAsia"/>
        </w:rPr>
        <w:t>分析天平</w:t>
      </w:r>
    </w:p>
    <w:p w14:paraId="2E3180DE">
      <w:pPr>
        <w:rPr>
          <w:rFonts w:eastAsia="宋体"/>
          <w:bCs/>
          <w:szCs w:val="24"/>
        </w:rPr>
      </w:pPr>
      <w:r>
        <w:rPr>
          <w:rFonts w:hint="eastAsia" w:eastAsia="宋体"/>
          <w:bCs/>
          <w:szCs w:val="24"/>
        </w:rPr>
        <w:t>感量0.01mg。</w:t>
      </w:r>
    </w:p>
    <w:p w14:paraId="394129AD">
      <w:pPr>
        <w:pStyle w:val="3"/>
        <w:ind w:firstLineChars="0"/>
      </w:pPr>
      <w:r>
        <w:rPr>
          <w:rFonts w:hint="eastAsia"/>
        </w:rPr>
        <w:t>样品制备工具</w:t>
      </w:r>
    </w:p>
    <w:p w14:paraId="6DE3AEDD">
      <w:r>
        <w:rPr>
          <w:rFonts w:hint="eastAsia"/>
        </w:rPr>
        <w:t>剪刀、钳子、冷冻粉碎机等类似工具。</w:t>
      </w:r>
    </w:p>
    <w:p w14:paraId="0E98CE16">
      <w:pPr>
        <w:pStyle w:val="2"/>
        <w:spacing w:before="312" w:beforeLines="100" w:after="312" w:afterLines="100" w:line="240" w:lineRule="auto"/>
        <w:ind w:firstLineChars="0"/>
      </w:pPr>
      <w:bookmarkStart w:id="59" w:name="_Toc104306823"/>
      <w:bookmarkStart w:id="60" w:name="_Toc104308207"/>
      <w:bookmarkStart w:id="61" w:name="_Toc104306276"/>
      <w:bookmarkStart w:id="62" w:name="_Toc104307060"/>
      <w:bookmarkStart w:id="63" w:name="_Toc7089"/>
      <w:r>
        <w:rPr>
          <w:rFonts w:hint="eastAsia"/>
        </w:rPr>
        <w:t>样品制备</w:t>
      </w:r>
      <w:bookmarkEnd w:id="59"/>
      <w:bookmarkEnd w:id="60"/>
      <w:bookmarkEnd w:id="61"/>
      <w:bookmarkEnd w:id="62"/>
      <w:bookmarkEnd w:id="63"/>
    </w:p>
    <w:p w14:paraId="7F4E6284">
      <w:pPr>
        <w:spacing w:line="240" w:lineRule="auto"/>
      </w:pPr>
      <w:r>
        <w:rPr>
          <w:rFonts w:hint="eastAsia"/>
        </w:rPr>
        <w:t>依照分析目的和样品的状态等选择合适的样品的分离和制备方法，适当的分离和制样方法可以降低来自助剂、填料和非目标物树脂的干扰。</w:t>
      </w:r>
    </w:p>
    <w:p w14:paraId="569283F5">
      <w:pPr>
        <w:pStyle w:val="3"/>
        <w:spacing w:before="156" w:beforeLines="50" w:after="156" w:afterLines="50" w:line="240" w:lineRule="auto"/>
        <w:ind w:firstLineChars="0"/>
      </w:pPr>
      <w:r>
        <w:rPr>
          <w:rFonts w:hint="eastAsia"/>
        </w:rPr>
        <w:t>样品分离</w:t>
      </w:r>
    </w:p>
    <w:p w14:paraId="06C5EA7A">
      <w:pPr>
        <w:pStyle w:val="4"/>
        <w:spacing w:before="156" w:beforeLines="50" w:after="156" w:afterLines="50" w:line="240" w:lineRule="auto"/>
      </w:pPr>
      <w:r>
        <w:rPr>
          <w:rFonts w:hint="eastAsia"/>
        </w:rPr>
        <w:t>机械分离</w:t>
      </w:r>
    </w:p>
    <w:p w14:paraId="03AC2F83">
      <w:pPr>
        <w:spacing w:line="240" w:lineRule="auto"/>
      </w:pPr>
      <w:r>
        <w:rPr>
          <w:rFonts w:hint="eastAsia"/>
        </w:rPr>
        <w:t>目视或将待测样品置于放大镜下，用针或刀片进行待测部位的剥离或分离。被分离出的待测部位，如附着灰尘或胶水等物，可用蒸馏水或有机溶剂清洗。</w:t>
      </w:r>
    </w:p>
    <w:p w14:paraId="7BF6B83B">
      <w:pPr>
        <w:pStyle w:val="4"/>
        <w:spacing w:before="156" w:beforeLines="50" w:after="156" w:afterLines="50" w:line="240" w:lineRule="auto"/>
      </w:pPr>
      <w:r>
        <w:rPr>
          <w:rFonts w:hint="eastAsia"/>
        </w:rPr>
        <w:t>溶解分离</w:t>
      </w:r>
    </w:p>
    <w:p w14:paraId="2151E2A7">
      <w:pPr>
        <w:spacing w:line="240" w:lineRule="auto"/>
      </w:pPr>
      <w:r>
        <w:rPr>
          <w:rFonts w:hint="eastAsia"/>
        </w:rPr>
        <w:t>有丙酮、三氯甲烷等机溶剂可以在一定条件下将塑料制品中的助剂和树脂组分溶解，经溶剂抽出、溶解等过程，通过离心和沉淀分离可得到含有待测树脂组分的溶液。</w:t>
      </w:r>
    </w:p>
    <w:p w14:paraId="317C62FD">
      <w:pPr>
        <w:pStyle w:val="4"/>
        <w:spacing w:before="156" w:beforeLines="50" w:after="156" w:afterLines="50" w:line="240" w:lineRule="auto"/>
      </w:pPr>
      <w:r>
        <w:rPr>
          <w:rFonts w:hint="eastAsia"/>
        </w:rPr>
        <w:t>热解分离</w:t>
      </w:r>
    </w:p>
    <w:p w14:paraId="23DE5EC6">
      <w:pPr>
        <w:spacing w:line="240" w:lineRule="auto"/>
      </w:pPr>
      <w:r>
        <w:rPr>
          <w:rFonts w:hint="eastAsia"/>
        </w:rPr>
        <w:t>适用于含大量填料的塑料制品、固化的塑料制品等难以用常规方法分离的样品，可采用干馏法或控温热解法进行热解分离。</w:t>
      </w:r>
    </w:p>
    <w:p w14:paraId="62742F0C">
      <w:pPr>
        <w:pStyle w:val="3"/>
        <w:spacing w:before="156" w:beforeLines="50" w:after="156" w:afterLines="50" w:line="240" w:lineRule="auto"/>
        <w:ind w:firstLineChars="0"/>
      </w:pPr>
      <w:r>
        <w:rPr>
          <w:rFonts w:hint="eastAsia"/>
        </w:rPr>
        <w:t>制样</w:t>
      </w:r>
    </w:p>
    <w:p w14:paraId="22EB8CC3">
      <w:r>
        <w:rPr>
          <w:rFonts w:hint="eastAsia"/>
        </w:rPr>
        <w:t>选用合适的样品制备工具（5.4），将样品制成粒径1mm以下小片或粉末，混匀备用。</w:t>
      </w:r>
    </w:p>
    <w:p w14:paraId="1BC03E43">
      <w:pPr>
        <w:pStyle w:val="2"/>
        <w:spacing w:before="312" w:beforeLines="100" w:after="312" w:afterLines="100" w:line="240" w:lineRule="auto"/>
        <w:ind w:firstLineChars="0"/>
      </w:pPr>
      <w:bookmarkStart w:id="64" w:name="_Toc22908"/>
      <w:r>
        <w:rPr>
          <w:rFonts w:hint="eastAsia"/>
        </w:rPr>
        <w:t>试验步骤</w:t>
      </w:r>
      <w:bookmarkEnd w:id="64"/>
    </w:p>
    <w:p w14:paraId="7460D575">
      <w:pPr>
        <w:pStyle w:val="3"/>
        <w:spacing w:before="156" w:beforeLines="50" w:after="156" w:afterLines="50" w:line="240" w:lineRule="auto"/>
        <w:ind w:firstLineChars="0"/>
      </w:pPr>
      <w:r>
        <w:rPr>
          <w:rFonts w:hint="eastAsia"/>
        </w:rPr>
        <w:t>气相色谱条件设置</w:t>
      </w:r>
    </w:p>
    <w:p w14:paraId="33D7E3FC">
      <w:pPr>
        <w:spacing w:line="240" w:lineRule="auto"/>
      </w:pPr>
      <w:r>
        <w:rPr>
          <w:rFonts w:hint="eastAsia"/>
        </w:rPr>
        <w:t>根据设定的操作条件，调整气相色谱仪参数，典型操作条件参见附录A。</w:t>
      </w:r>
    </w:p>
    <w:p w14:paraId="13261A96">
      <w:pPr>
        <w:pStyle w:val="3"/>
        <w:spacing w:before="156" w:beforeLines="50" w:after="156" w:afterLines="50" w:line="240" w:lineRule="auto"/>
        <w:ind w:firstLineChars="0"/>
      </w:pPr>
      <w:r>
        <w:rPr>
          <w:rFonts w:hint="eastAsia"/>
        </w:rPr>
        <w:t>热裂解条件</w:t>
      </w:r>
    </w:p>
    <w:p w14:paraId="3334D862">
      <w:pPr>
        <w:widowControl/>
        <w:tabs>
          <w:tab w:val="center" w:pos="4201"/>
          <w:tab w:val="right" w:leader="dot" w:pos="9298"/>
        </w:tabs>
        <w:autoSpaceDE w:val="0"/>
        <w:autoSpaceDN w:val="0"/>
        <w:spacing w:line="240" w:lineRule="auto"/>
      </w:pPr>
      <w:r>
        <w:rPr>
          <w:rFonts w:hint="eastAsia"/>
        </w:rPr>
        <w:t>不同原理和型号的热裂解器参数设置有所不同，可通过程序升温以降低有机助剂对树脂裂解产物的干扰。</w:t>
      </w:r>
    </w:p>
    <w:p w14:paraId="3D996C52">
      <w:pPr>
        <w:widowControl/>
        <w:tabs>
          <w:tab w:val="center" w:pos="4201"/>
          <w:tab w:val="right" w:leader="dot" w:pos="9298"/>
        </w:tabs>
        <w:autoSpaceDE w:val="0"/>
        <w:autoSpaceDN w:val="0"/>
        <w:spacing w:line="240" w:lineRule="auto"/>
      </w:pPr>
      <w:r>
        <w:rPr>
          <w:rFonts w:hint="eastAsia"/>
        </w:rPr>
        <w:t>通常采用的裂解条件：</w:t>
      </w:r>
    </w:p>
    <w:p w14:paraId="49492430">
      <w:pPr>
        <w:widowControl/>
        <w:numPr>
          <w:ilvl w:val="0"/>
          <w:numId w:val="9"/>
        </w:numPr>
        <w:tabs>
          <w:tab w:val="center" w:pos="4201"/>
          <w:tab w:val="right" w:leader="dot" w:pos="9298"/>
        </w:tabs>
        <w:autoSpaceDE w:val="0"/>
        <w:autoSpaceDN w:val="0"/>
        <w:spacing w:line="240" w:lineRule="auto"/>
      </w:pPr>
      <w:r>
        <w:rPr>
          <w:rFonts w:hint="eastAsia"/>
        </w:rPr>
        <w:t>温度为550℃，裂解时间5s~</w:t>
      </w:r>
      <w:r>
        <w:t>20</w:t>
      </w:r>
      <w:r>
        <w:rPr>
          <w:rFonts w:hint="eastAsia"/>
        </w:rPr>
        <w:t>s。</w:t>
      </w:r>
    </w:p>
    <w:p w14:paraId="5B2CC479">
      <w:pPr>
        <w:widowControl/>
        <w:numPr>
          <w:ilvl w:val="0"/>
          <w:numId w:val="9"/>
        </w:numPr>
        <w:tabs>
          <w:tab w:val="center" w:pos="4201"/>
          <w:tab w:val="right" w:leader="dot" w:pos="9298"/>
        </w:tabs>
        <w:autoSpaceDE w:val="0"/>
        <w:autoSpaceDN w:val="0"/>
        <w:spacing w:line="240" w:lineRule="auto"/>
      </w:pPr>
      <w:r>
        <w:rPr>
          <w:rFonts w:hint="eastAsia"/>
        </w:rPr>
        <w:t>程度升温：初始200℃，以20℃/min升至300℃，保持5min。以50℃/min升至550℃，保持0.1min。</w:t>
      </w:r>
    </w:p>
    <w:p w14:paraId="06BE9945">
      <w:pPr>
        <w:pStyle w:val="3"/>
        <w:keepNext w:val="0"/>
        <w:spacing w:before="156" w:beforeLines="50" w:after="156" w:afterLines="50" w:line="240" w:lineRule="auto"/>
        <w:ind w:firstLineChars="0"/>
      </w:pPr>
      <w:r>
        <w:rPr>
          <w:rFonts w:hint="eastAsia"/>
        </w:rPr>
        <w:t>样品测试</w:t>
      </w:r>
    </w:p>
    <w:p w14:paraId="5012CEA7">
      <w:pPr>
        <w:rPr>
          <w:rFonts w:hint="eastAsia"/>
        </w:rPr>
      </w:pPr>
      <w:r>
        <w:rPr>
          <w:rFonts w:hint="eastAsia"/>
        </w:rPr>
        <w:t>7</w:t>
      </w:r>
      <w:r>
        <w:t xml:space="preserve">.3.1 </w:t>
      </w:r>
      <w:r>
        <w:rPr>
          <w:rFonts w:hint="eastAsia"/>
        </w:rPr>
        <w:t>直接热解</w:t>
      </w:r>
    </w:p>
    <w:p w14:paraId="74F13206">
      <w:pPr>
        <w:pStyle w:val="4"/>
        <w:keepNext w:val="0"/>
        <w:widowControl w:val="0"/>
        <w:numPr>
          <w:ilvl w:val="2"/>
          <w:numId w:val="0"/>
        </w:numPr>
        <w:spacing w:before="0" w:beforeLines="0" w:after="0" w:afterLines="0" w:line="240" w:lineRule="auto"/>
        <w:ind w:firstLine="420" w:firstLineChars="200"/>
        <w:rPr>
          <w:rFonts w:ascii="宋体" w:hAnsi="宋体" w:eastAsia="宋体" w:cs="宋体"/>
        </w:rPr>
      </w:pPr>
      <w:r>
        <w:rPr>
          <w:rFonts w:hint="eastAsia" w:ascii="宋体" w:hAnsi="宋体" w:eastAsia="宋体" w:cs="宋体"/>
        </w:rPr>
        <w:t>按照设备要求取适</w:t>
      </w:r>
      <w:r>
        <w:rPr>
          <w:rFonts w:ascii="Times New Roman" w:hAnsi="Times New Roman" w:eastAsia="宋体"/>
        </w:rPr>
        <w:t>量样品，通常为0.1 mg左右</w:t>
      </w:r>
      <w:r>
        <w:rPr>
          <w:rFonts w:hint="eastAsia" w:ascii="宋体" w:hAnsi="宋体" w:eastAsia="宋体" w:cs="宋体"/>
        </w:rPr>
        <w:t>。按照7.1和7.2仪器条件对空白和样品依次进行测试，记录试验数据。</w:t>
      </w:r>
    </w:p>
    <w:p w14:paraId="4D6543DF">
      <w:pPr>
        <w:rPr>
          <w:rFonts w:hint="eastAsia"/>
        </w:rPr>
      </w:pPr>
      <w:r>
        <w:rPr>
          <w:rFonts w:hint="eastAsia"/>
        </w:rPr>
        <w:t>7</w:t>
      </w:r>
      <w:r>
        <w:t xml:space="preserve">.3.2 </w:t>
      </w:r>
      <w:r>
        <w:rPr>
          <w:rFonts w:hint="eastAsia"/>
        </w:rPr>
        <w:t>有机碱热解</w:t>
      </w:r>
    </w:p>
    <w:p w14:paraId="501988DB">
      <w:pPr>
        <w:spacing w:line="240" w:lineRule="auto"/>
        <w:rPr>
          <w:rFonts w:hint="eastAsia"/>
        </w:rPr>
      </w:pPr>
      <w:r>
        <w:rPr>
          <w:rFonts w:hint="eastAsia"/>
        </w:rPr>
        <w:t>对于缩聚型塑料，其裂解过程存在酸性特征产物，易发生副反应，通过加入四甲基氢氧化铵可定向衍生</w:t>
      </w:r>
      <w:r>
        <w:rPr>
          <w:rFonts w:hint="eastAsia"/>
          <w:lang w:val="en-US" w:eastAsia="zh-CN"/>
        </w:rPr>
        <w:t>甲酯</w:t>
      </w:r>
      <w:r>
        <w:rPr>
          <w:rFonts w:hint="eastAsia"/>
        </w:rPr>
        <w:t>化并抑制副反应发生。按照设备要求取适量样品，通常为0.1 mg左右，</w:t>
      </w:r>
      <w:r>
        <w:rPr>
          <w:rFonts w:hint="eastAsia"/>
        </w:rPr>
        <w:t>在称取样品后加入适量四甲基氢氧化铵与之混合。按照7.1和7.2仪器条件对空白和样品依次进行测试，记录试验数据。</w:t>
      </w:r>
    </w:p>
    <w:p w14:paraId="591A74AD">
      <w:pPr>
        <w:pStyle w:val="2"/>
        <w:keepNext w:val="0"/>
        <w:spacing w:before="312" w:beforeLines="100" w:after="312" w:afterLines="100" w:line="240" w:lineRule="auto"/>
        <w:ind w:firstLineChars="0"/>
      </w:pPr>
      <w:bookmarkStart w:id="65" w:name="_Toc20930"/>
      <w:r>
        <w:rPr>
          <w:rFonts w:hint="eastAsia"/>
        </w:rPr>
        <w:t>结果分析</w:t>
      </w:r>
      <w:bookmarkEnd w:id="65"/>
    </w:p>
    <w:p w14:paraId="0B510CC7">
      <w:pPr>
        <w:pStyle w:val="3"/>
        <w:keepNext w:val="0"/>
        <w:spacing w:before="156" w:beforeLines="50" w:after="156" w:afterLines="50" w:line="240" w:lineRule="auto"/>
        <w:ind w:firstLineChars="0"/>
        <w:rPr>
          <w:rFonts w:eastAsia="宋体"/>
          <w:kern w:val="0"/>
          <w:szCs w:val="20"/>
        </w:rPr>
      </w:pPr>
      <w:r>
        <w:rPr>
          <w:rFonts w:hint="eastAsia"/>
        </w:rPr>
        <w:t>定性分析</w:t>
      </w:r>
    </w:p>
    <w:p w14:paraId="07C147DE">
      <w:pPr>
        <w:spacing w:line="240" w:lineRule="auto"/>
      </w:pPr>
      <w:r>
        <w:rPr>
          <w:rFonts w:hint="eastAsia"/>
        </w:rPr>
        <w:t>通过确认一些特征分解产物以及与质谱谱库检索匹配，鉴定合成树脂种类，部分塑料的主要裂解产物见附录B。加入四甲基氢氧化铵的缩聚型塑料的主要裂解产物见附录</w:t>
      </w:r>
      <w:r>
        <w:t>C</w:t>
      </w:r>
      <w:r>
        <w:rPr>
          <w:rFonts w:hint="eastAsia"/>
        </w:rPr>
        <w:t>。也可通过与已知物进行对照分析来进行塑料树脂种类的检定。</w:t>
      </w:r>
    </w:p>
    <w:p w14:paraId="02ED9B47">
      <w:pPr>
        <w:pStyle w:val="2"/>
        <w:keepNext w:val="0"/>
        <w:spacing w:before="312" w:beforeLines="100" w:after="312" w:afterLines="100" w:line="240" w:lineRule="auto"/>
        <w:ind w:firstLineChars="0"/>
      </w:pPr>
      <w:bookmarkStart w:id="66" w:name="_Toc10925"/>
      <w:r>
        <w:rPr>
          <w:rFonts w:hint="eastAsia"/>
        </w:rPr>
        <w:t>结果表述</w:t>
      </w:r>
      <w:bookmarkEnd w:id="66"/>
    </w:p>
    <w:p w14:paraId="25A2A43B">
      <w:pPr>
        <w:pStyle w:val="4"/>
        <w:keepNext w:val="0"/>
        <w:widowControl w:val="0"/>
        <w:numPr>
          <w:ilvl w:val="2"/>
          <w:numId w:val="0"/>
        </w:numPr>
        <w:spacing w:before="0" w:beforeLines="0" w:after="0" w:afterLines="0" w:line="240" w:lineRule="auto"/>
        <w:ind w:firstLine="420" w:firstLineChars="200"/>
        <w:rPr>
          <w:rFonts w:ascii="Times New Roman" w:hAnsi="Times New Roman" w:eastAsia="宋体"/>
        </w:rPr>
      </w:pPr>
      <w:r>
        <w:rPr>
          <w:rFonts w:hint="eastAsia" w:ascii="宋体" w:hAnsi="宋体" w:eastAsia="宋体" w:cs="宋体"/>
        </w:rPr>
        <w:t>对未知塑料的</w:t>
      </w:r>
      <w:r>
        <w:rPr>
          <w:rFonts w:ascii="Times New Roman" w:hAnsi="Times New Roman" w:eastAsia="宋体"/>
        </w:rPr>
        <w:t>鉴定，应表述为：样品是或不是某种塑料。</w:t>
      </w:r>
    </w:p>
    <w:p w14:paraId="7B68F69C">
      <w:pPr>
        <w:pStyle w:val="4"/>
        <w:keepNext w:val="0"/>
        <w:widowControl w:val="0"/>
        <w:numPr>
          <w:ilvl w:val="2"/>
          <w:numId w:val="0"/>
        </w:numPr>
        <w:spacing w:before="0" w:beforeLines="0" w:after="0" w:afterLines="0" w:line="240" w:lineRule="auto"/>
        <w:ind w:firstLine="420" w:firstLineChars="200"/>
        <w:rPr>
          <w:rFonts w:ascii="Times New Roman" w:hAnsi="Times New Roman" w:eastAsia="宋体"/>
        </w:rPr>
      </w:pPr>
      <w:r>
        <w:rPr>
          <w:rFonts w:ascii="Times New Roman" w:hAnsi="Times New Roman" w:eastAsia="宋体"/>
        </w:rPr>
        <w:t>当不能确切表述为某种塑料时，应根据红外光谱信息提出可能是某种塑料的分析意见，结果表述为：检出XX类塑料或XX官能团。</w:t>
      </w:r>
    </w:p>
    <w:p w14:paraId="601D54CE">
      <w:pPr>
        <w:pStyle w:val="2"/>
        <w:keepNext w:val="0"/>
        <w:spacing w:before="312" w:beforeLines="100" w:after="312" w:afterLines="100" w:line="240" w:lineRule="auto"/>
        <w:ind w:firstLineChars="0"/>
      </w:pPr>
      <w:bookmarkStart w:id="67" w:name="_Toc5794"/>
      <w:r>
        <w:rPr>
          <w:rFonts w:hint="eastAsia"/>
        </w:rPr>
        <w:t>试验报告</w:t>
      </w:r>
      <w:bookmarkEnd w:id="67"/>
    </w:p>
    <w:p w14:paraId="1F37B938">
      <w:pPr>
        <w:spacing w:line="240" w:lineRule="auto"/>
        <w:jc w:val="left"/>
      </w:pPr>
      <w:r>
        <w:rPr>
          <w:rFonts w:hint="eastAsia"/>
        </w:rPr>
        <w:t>试验报告应至少包括以下内容：</w:t>
      </w:r>
    </w:p>
    <w:p w14:paraId="708D1BC4">
      <w:pPr>
        <w:pStyle w:val="6"/>
      </w:pPr>
      <w:r>
        <w:t>a</w:t>
      </w:r>
      <w:r>
        <w:rPr>
          <w:rFonts w:hint="eastAsia"/>
        </w:rPr>
        <w:t>）委托单位；</w:t>
      </w:r>
    </w:p>
    <w:p w14:paraId="190FD713">
      <w:pPr>
        <w:pStyle w:val="6"/>
      </w:pPr>
      <w:r>
        <w:t>b</w:t>
      </w:r>
      <w:r>
        <w:rPr>
          <w:rFonts w:hint="eastAsia"/>
        </w:rPr>
        <w:t>）试样名称；</w:t>
      </w:r>
    </w:p>
    <w:p w14:paraId="2E8176BE">
      <w:pPr>
        <w:pStyle w:val="6"/>
      </w:pPr>
      <w:r>
        <w:t>c</w:t>
      </w:r>
      <w:r>
        <w:rPr>
          <w:rFonts w:hint="eastAsia"/>
        </w:rPr>
        <w:t>）检测依据：本文件编号及具体方法；</w:t>
      </w:r>
    </w:p>
    <w:p w14:paraId="01B4E185">
      <w:pPr>
        <w:pStyle w:val="6"/>
      </w:pPr>
      <w:r>
        <w:t>d</w:t>
      </w:r>
      <w:r>
        <w:rPr>
          <w:rFonts w:hint="eastAsia"/>
        </w:rPr>
        <w:t>）检测结果；</w:t>
      </w:r>
    </w:p>
    <w:p w14:paraId="78F16287">
      <w:pPr>
        <w:pStyle w:val="6"/>
      </w:pPr>
      <w:r>
        <w:t>e</w:t>
      </w:r>
      <w:r>
        <w:rPr>
          <w:rFonts w:hint="eastAsia"/>
        </w:rPr>
        <w:t>）与本方法的差异（如有）；</w:t>
      </w:r>
    </w:p>
    <w:p w14:paraId="428F3E91">
      <w:pPr>
        <w:pStyle w:val="6"/>
      </w:pPr>
      <w:r>
        <w:t>f</w:t>
      </w:r>
      <w:r>
        <w:rPr>
          <w:rFonts w:hint="eastAsia"/>
        </w:rPr>
        <w:t>）在试验中观察到的异常现象（如有）；</w:t>
      </w:r>
    </w:p>
    <w:p w14:paraId="405ACB90">
      <w:pPr>
        <w:pStyle w:val="6"/>
      </w:pPr>
      <w:r>
        <w:t>g</w:t>
      </w:r>
      <w:r>
        <w:rPr>
          <w:rFonts w:hint="eastAsia"/>
        </w:rPr>
        <w:t>）试验日期。</w:t>
      </w:r>
    </w:p>
    <w:p w14:paraId="079CB3D2">
      <w:r>
        <w:rPr>
          <w:rFonts w:hint="eastAsia"/>
        </w:rPr>
        <w:br w:type="page"/>
      </w:r>
      <w:bookmarkStart w:id="68" w:name="_Toc37589950"/>
      <w:bookmarkStart w:id="69" w:name="_Toc37596460"/>
      <w:bookmarkStart w:id="70" w:name="_Toc51570699"/>
      <w:bookmarkStart w:id="71" w:name="_Toc22037"/>
      <w:bookmarkStart w:id="72" w:name="_Toc40343624"/>
      <w:bookmarkStart w:id="73" w:name="_Toc37593894"/>
    </w:p>
    <w:p w14:paraId="6AD70D3C">
      <w:pPr>
        <w:pStyle w:val="175"/>
        <w:spacing w:after="0" w:afterLines="0"/>
      </w:pPr>
      <w:bookmarkStart w:id="74" w:name="_Toc181977551"/>
      <w:bookmarkStart w:id="75" w:name="_Toc170981502"/>
    </w:p>
    <w:p w14:paraId="3BDFEE69">
      <w:pPr>
        <w:pStyle w:val="175"/>
        <w:numPr>
          <w:ilvl w:val="0"/>
          <w:numId w:val="0"/>
        </w:numPr>
        <w:tabs>
          <w:tab w:val="left" w:pos="6406"/>
        </w:tabs>
        <w:spacing w:before="0" w:after="0" w:afterLines="0"/>
        <w:rPr>
          <w:rFonts w:ascii="Times New Roman"/>
        </w:rPr>
      </w:pPr>
      <w:bookmarkStart w:id="76" w:name="_Toc31443"/>
      <w:r>
        <w:rPr>
          <w:rFonts w:hint="eastAsia" w:ascii="Times New Roman"/>
        </w:rPr>
        <w:t>（资料性）</w:t>
      </w:r>
      <w:bookmarkEnd w:id="74"/>
      <w:bookmarkEnd w:id="75"/>
      <w:bookmarkEnd w:id="76"/>
    </w:p>
    <w:p w14:paraId="1ACEA7F9">
      <w:pPr>
        <w:pStyle w:val="175"/>
        <w:numPr>
          <w:ilvl w:val="0"/>
          <w:numId w:val="0"/>
        </w:numPr>
        <w:tabs>
          <w:tab w:val="left" w:pos="6406"/>
        </w:tabs>
        <w:spacing w:before="0" w:after="156"/>
        <w:rPr>
          <w:rFonts w:ascii="Times New Roman"/>
        </w:rPr>
      </w:pPr>
      <w:r>
        <w:rPr>
          <w:rFonts w:hint="eastAsia" w:ascii="Times New Roman"/>
        </w:rPr>
        <w:t>气相色谱操作条件示例</w:t>
      </w:r>
    </w:p>
    <w:p w14:paraId="4FD3E6EC">
      <w:pPr>
        <w:pStyle w:val="6"/>
      </w:pPr>
      <w:r>
        <w:rPr>
          <w:rFonts w:hint="eastAsia"/>
        </w:rPr>
        <w:t>不同型号的裂解-气相色谱质谱分析的参数设置有所不同，因此不可能给出裂解-气相色谱质谱</w:t>
      </w:r>
    </w:p>
    <w:p w14:paraId="598518FC">
      <w:pPr>
        <w:pStyle w:val="6"/>
        <w:ind w:firstLine="0" w:firstLineChars="0"/>
      </w:pPr>
      <w:r>
        <w:rPr>
          <w:rFonts w:hint="eastAsia"/>
        </w:rPr>
        <w:t>分析的通用参数。设定的参数应保证色谱质谱测定时各组分间能够得到有效的分离，下列给出的参数证明是可行的：</w:t>
      </w:r>
    </w:p>
    <w:p w14:paraId="0EAD2D82">
      <w:pPr>
        <w:pStyle w:val="6"/>
        <w:numPr>
          <w:ilvl w:val="0"/>
          <w:numId w:val="10"/>
        </w:numPr>
        <w:rPr>
          <w:rFonts w:ascii="Times New Roman"/>
        </w:rPr>
      </w:pPr>
      <w:r>
        <w:rPr>
          <w:rFonts w:ascii="Times New Roman"/>
        </w:rPr>
        <w:t>色谱柱：5%苯基-95%甲基聚硅氧烷色谱柱</w:t>
      </w:r>
      <w:r>
        <w:rPr>
          <w:rFonts w:hint="eastAsia" w:ascii="Times New Roman"/>
        </w:rPr>
        <w:t>，</w:t>
      </w:r>
      <w:r>
        <w:rPr>
          <w:rFonts w:ascii="Times New Roman"/>
        </w:rPr>
        <w:t>30m</w:t>
      </w:r>
      <w:r>
        <w:rPr>
          <w:rFonts w:hint="eastAsia" w:ascii="Times New Roman"/>
        </w:rPr>
        <w:t>（柱长）</w:t>
      </w:r>
      <w:r>
        <w:rPr>
          <w:rFonts w:ascii="Times New Roman"/>
        </w:rPr>
        <w:t>×0.25mm</w:t>
      </w:r>
      <w:r>
        <w:rPr>
          <w:rFonts w:hint="eastAsia" w:ascii="Times New Roman"/>
        </w:rPr>
        <w:t>（内径）</w:t>
      </w:r>
      <w:r>
        <w:rPr>
          <w:rFonts w:ascii="Times New Roman"/>
        </w:rPr>
        <w:t>×0.25μm</w:t>
      </w:r>
      <w:r>
        <w:rPr>
          <w:rFonts w:hint="eastAsia" w:ascii="Times New Roman"/>
        </w:rPr>
        <w:t>（膜厚），或相当者</w:t>
      </w:r>
      <w:r>
        <w:rPr>
          <w:rFonts w:ascii="Times New Roman"/>
        </w:rPr>
        <w:t>；</w:t>
      </w:r>
    </w:p>
    <w:p w14:paraId="0326253F">
      <w:pPr>
        <w:pStyle w:val="6"/>
        <w:numPr>
          <w:ilvl w:val="0"/>
          <w:numId w:val="10"/>
        </w:numPr>
        <w:rPr>
          <w:rFonts w:ascii="Times New Roman"/>
        </w:rPr>
      </w:pPr>
      <w:r>
        <w:rPr>
          <w:rFonts w:hint="eastAsia" w:ascii="Times New Roman"/>
        </w:rPr>
        <w:t>柱温：初始温度</w:t>
      </w:r>
      <w:r>
        <w:rPr>
          <w:rFonts w:ascii="Times New Roman"/>
        </w:rPr>
        <w:t>50℃保持5min，10℃/min升至300℃，保持10min；</w:t>
      </w:r>
    </w:p>
    <w:p w14:paraId="406BF9D9">
      <w:pPr>
        <w:pStyle w:val="6"/>
        <w:numPr>
          <w:ilvl w:val="0"/>
          <w:numId w:val="10"/>
        </w:numPr>
        <w:rPr>
          <w:rFonts w:ascii="Times New Roman"/>
        </w:rPr>
      </w:pPr>
      <w:r>
        <w:rPr>
          <w:rFonts w:ascii="Times New Roman"/>
        </w:rPr>
        <w:t>进样口温度：300℃；</w:t>
      </w:r>
    </w:p>
    <w:p w14:paraId="3C46EDBD">
      <w:pPr>
        <w:pStyle w:val="6"/>
        <w:numPr>
          <w:ilvl w:val="0"/>
          <w:numId w:val="10"/>
        </w:numPr>
        <w:rPr>
          <w:rFonts w:ascii="Times New Roman"/>
        </w:rPr>
      </w:pPr>
      <w:r>
        <w:rPr>
          <w:rFonts w:ascii="Times New Roman"/>
        </w:rPr>
        <w:t>载气</w:t>
      </w:r>
      <w:r>
        <w:rPr>
          <w:rFonts w:hint="eastAsia" w:ascii="Times New Roman"/>
        </w:rPr>
        <w:t>及</w:t>
      </w:r>
      <w:r>
        <w:rPr>
          <w:rFonts w:ascii="Times New Roman"/>
        </w:rPr>
        <w:t>流速：</w:t>
      </w:r>
      <w:r>
        <w:rPr>
          <w:rFonts w:hint="eastAsia" w:ascii="Times New Roman"/>
        </w:rPr>
        <w:t>氦气，</w:t>
      </w:r>
      <w:r>
        <w:rPr>
          <w:rFonts w:ascii="Times New Roman"/>
        </w:rPr>
        <w:t>1.0mL/min；</w:t>
      </w:r>
    </w:p>
    <w:p w14:paraId="05F918EF">
      <w:pPr>
        <w:pStyle w:val="6"/>
        <w:numPr>
          <w:ilvl w:val="0"/>
          <w:numId w:val="10"/>
        </w:numPr>
        <w:rPr>
          <w:rFonts w:ascii="Times New Roman"/>
        </w:rPr>
      </w:pPr>
      <w:r>
        <w:rPr>
          <w:rFonts w:hint="eastAsia" w:ascii="Times New Roman"/>
        </w:rPr>
        <w:t>离子源：电子轰击离子源（EI）；</w:t>
      </w:r>
    </w:p>
    <w:p w14:paraId="0141390E">
      <w:pPr>
        <w:pStyle w:val="6"/>
        <w:numPr>
          <w:ilvl w:val="0"/>
          <w:numId w:val="10"/>
        </w:numPr>
        <w:rPr>
          <w:rFonts w:ascii="Times New Roman"/>
        </w:rPr>
      </w:pPr>
      <w:r>
        <w:rPr>
          <w:rFonts w:hint="eastAsia" w:ascii="Times New Roman"/>
        </w:rPr>
        <w:t>电离能量：70eV；</w:t>
      </w:r>
    </w:p>
    <w:p w14:paraId="22693422">
      <w:pPr>
        <w:pStyle w:val="6"/>
        <w:numPr>
          <w:ilvl w:val="0"/>
          <w:numId w:val="10"/>
        </w:numPr>
        <w:rPr>
          <w:rFonts w:ascii="Times New Roman"/>
        </w:rPr>
      </w:pPr>
      <w:r>
        <w:rPr>
          <w:rFonts w:hint="eastAsia" w:ascii="Times New Roman"/>
        </w:rPr>
        <w:t>离子源温度：230℃；</w:t>
      </w:r>
    </w:p>
    <w:p w14:paraId="1B12B188">
      <w:pPr>
        <w:pStyle w:val="6"/>
        <w:numPr>
          <w:ilvl w:val="0"/>
          <w:numId w:val="10"/>
        </w:numPr>
        <w:rPr>
          <w:rFonts w:ascii="Times New Roman"/>
        </w:rPr>
      </w:pPr>
      <w:r>
        <w:rPr>
          <w:rFonts w:hint="eastAsia" w:ascii="Times New Roman"/>
        </w:rPr>
        <w:t>质谱扫描方式：全扫描；</w:t>
      </w:r>
    </w:p>
    <w:p w14:paraId="49C17109">
      <w:pPr>
        <w:pStyle w:val="6"/>
        <w:numPr>
          <w:ilvl w:val="0"/>
          <w:numId w:val="10"/>
        </w:numPr>
        <w:rPr>
          <w:rFonts w:ascii="Times New Roman"/>
        </w:rPr>
      </w:pPr>
      <w:r>
        <w:rPr>
          <w:rFonts w:hint="eastAsia" w:ascii="Times New Roman"/>
        </w:rPr>
        <w:t>质谱扫描范围：29~600（m//z）。</w:t>
      </w:r>
    </w:p>
    <w:p w14:paraId="0E1A8B26">
      <w:pPr>
        <w:pStyle w:val="126"/>
        <w:numPr>
          <w:ilvl w:val="0"/>
          <w:numId w:val="0"/>
        </w:numPr>
        <w:spacing w:beforeLines="0" w:afterLines="0"/>
      </w:pPr>
    </w:p>
    <w:p w14:paraId="217BD547">
      <w:pPr>
        <w:pStyle w:val="6"/>
      </w:pPr>
    </w:p>
    <w:p w14:paraId="5C485AE5">
      <w:r>
        <w:br w:type="page"/>
      </w:r>
    </w:p>
    <w:p w14:paraId="2D7EC870">
      <w:pPr>
        <w:pStyle w:val="175"/>
        <w:spacing w:after="0" w:afterLines="0"/>
      </w:pPr>
      <w:r>
        <w:rPr>
          <w:rFonts w:hint="eastAsia"/>
        </w:rPr>
        <w:t xml:space="preserve"> </w:t>
      </w:r>
    </w:p>
    <w:p w14:paraId="0E5BEC45">
      <w:pPr>
        <w:pStyle w:val="124"/>
        <w:keepNext w:val="0"/>
        <w:spacing w:before="0" w:after="0" w:line="240" w:lineRule="auto"/>
        <w:ind w:firstLine="0" w:firstLineChars="0"/>
      </w:pPr>
      <w:bookmarkStart w:id="77" w:name="_Toc4456"/>
      <w:r>
        <w:rPr>
          <w:rFonts w:hint="eastAsia"/>
        </w:rPr>
        <w:t>（资料性）</w:t>
      </w:r>
      <w:bookmarkEnd w:id="77"/>
    </w:p>
    <w:p w14:paraId="1821E051">
      <w:pPr>
        <w:pStyle w:val="124"/>
        <w:keepNext w:val="0"/>
        <w:spacing w:before="0" w:after="0" w:line="240" w:lineRule="auto"/>
      </w:pPr>
      <w:bookmarkStart w:id="78" w:name="_Toc7376"/>
      <w:r>
        <w:rPr>
          <w:rFonts w:hint="eastAsia"/>
        </w:rPr>
        <w:t>部分塑料制品</w:t>
      </w:r>
      <w:bookmarkEnd w:id="78"/>
      <w:r>
        <w:rPr>
          <w:rFonts w:hint="eastAsia"/>
        </w:rPr>
        <w:t>的特征裂解产物</w:t>
      </w:r>
    </w:p>
    <w:p w14:paraId="29C99D56">
      <w:pPr>
        <w:pStyle w:val="6"/>
        <w:spacing w:line="360" w:lineRule="auto"/>
        <w:rPr>
          <w:rFonts w:ascii="Times New Roman"/>
        </w:rPr>
      </w:pPr>
      <w:r>
        <w:rPr>
          <w:rFonts w:hint="eastAsia"/>
        </w:rPr>
        <w:t>部分塑料制品可以产生典型的特征裂解产物</w:t>
      </w:r>
      <w:r>
        <w:rPr>
          <w:rFonts w:ascii="Times New Roman"/>
        </w:rPr>
        <w:t>，</w:t>
      </w:r>
      <w:r>
        <w:rPr>
          <w:rFonts w:hint="eastAsia" w:ascii="Times New Roman"/>
        </w:rPr>
        <w:t>常见建筑塑料制品中树脂的部分特征裂解产物见表</w:t>
      </w:r>
      <w:r>
        <w:rPr>
          <w:rFonts w:ascii="Times New Roman"/>
        </w:rPr>
        <w:t>B.1。</w:t>
      </w:r>
    </w:p>
    <w:p w14:paraId="31E94087">
      <w:pPr>
        <w:pStyle w:val="173"/>
        <w:numPr>
          <w:ilvl w:val="1"/>
          <w:numId w:val="7"/>
        </w:numPr>
        <w:spacing w:before="156" w:after="156"/>
      </w:pPr>
      <w:r>
        <w:rPr>
          <w:rFonts w:hint="eastAsia"/>
        </w:rPr>
        <w:t>常见建筑塑料制品的部分特征裂解产物</w:t>
      </w:r>
    </w:p>
    <w:tbl>
      <w:tblPr>
        <w:tblStyle w:val="3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35"/>
        <w:gridCol w:w="5128"/>
      </w:tblGrid>
      <w:tr w14:paraId="13BA0F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792B5778">
            <w:pPr>
              <w:widowControl/>
              <w:tabs>
                <w:tab w:val="center" w:pos="4201"/>
                <w:tab w:val="right" w:leader="dot" w:pos="9298"/>
              </w:tabs>
              <w:autoSpaceDE w:val="0"/>
              <w:autoSpaceDN w:val="0"/>
              <w:spacing w:line="240" w:lineRule="auto"/>
              <w:jc w:val="center"/>
              <w:rPr>
                <w:kern w:val="0"/>
                <w:szCs w:val="18"/>
              </w:rPr>
            </w:pPr>
            <w:bookmarkStart w:id="79" w:name="OLE_LINK99"/>
            <w:bookmarkStart w:id="80" w:name="OLE_LINK98"/>
            <w:r>
              <w:rPr>
                <w:kern w:val="0"/>
                <w:szCs w:val="18"/>
              </w:rPr>
              <w:t>树脂类型</w:t>
            </w:r>
          </w:p>
        </w:tc>
        <w:tc>
          <w:tcPr>
            <w:tcW w:w="5128" w:type="dxa"/>
            <w:shd w:val="clear" w:color="auto" w:fill="auto"/>
            <w:vAlign w:val="center"/>
          </w:tcPr>
          <w:p w14:paraId="4AFE9A1C">
            <w:pPr>
              <w:widowControl/>
              <w:tabs>
                <w:tab w:val="center" w:pos="4201"/>
                <w:tab w:val="right" w:leader="dot" w:pos="9298"/>
              </w:tabs>
              <w:autoSpaceDE w:val="0"/>
              <w:autoSpaceDN w:val="0"/>
              <w:spacing w:line="240" w:lineRule="auto"/>
              <w:jc w:val="center"/>
              <w:rPr>
                <w:kern w:val="0"/>
                <w:szCs w:val="18"/>
              </w:rPr>
            </w:pPr>
            <w:r>
              <w:rPr>
                <w:kern w:val="0"/>
                <w:szCs w:val="18"/>
              </w:rPr>
              <w:t>主要裂解产物</w:t>
            </w:r>
          </w:p>
        </w:tc>
      </w:tr>
      <w:tr w14:paraId="39A2C7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594E62BA">
            <w:pPr>
              <w:widowControl/>
              <w:tabs>
                <w:tab w:val="center" w:pos="4201"/>
                <w:tab w:val="right" w:leader="dot" w:pos="9298"/>
              </w:tabs>
              <w:autoSpaceDE w:val="0"/>
              <w:autoSpaceDN w:val="0"/>
              <w:spacing w:line="240" w:lineRule="auto"/>
              <w:jc w:val="center"/>
              <w:rPr>
                <w:kern w:val="0"/>
                <w:szCs w:val="18"/>
              </w:rPr>
            </w:pPr>
            <w:r>
              <w:rPr>
                <w:rFonts w:hint="eastAsia"/>
                <w:kern w:val="0"/>
                <w:szCs w:val="18"/>
                <w:lang w:val="en-US" w:eastAsia="zh-CN"/>
              </w:rPr>
              <w:t>邻苯型</w:t>
            </w:r>
            <w:r>
              <w:rPr>
                <w:kern w:val="0"/>
                <w:szCs w:val="18"/>
              </w:rPr>
              <w:t>不饱和聚酯</w:t>
            </w:r>
            <w:r>
              <w:rPr>
                <w:rFonts w:hint="eastAsia"/>
                <w:kern w:val="0"/>
                <w:szCs w:val="18"/>
              </w:rPr>
              <w:t>（UR）</w:t>
            </w:r>
          </w:p>
        </w:tc>
        <w:tc>
          <w:tcPr>
            <w:tcW w:w="5128" w:type="dxa"/>
            <w:shd w:val="clear" w:color="auto" w:fill="auto"/>
            <w:vAlign w:val="center"/>
          </w:tcPr>
          <w:p w14:paraId="33CA100B">
            <w:pPr>
              <w:widowControl/>
              <w:tabs>
                <w:tab w:val="center" w:pos="4201"/>
                <w:tab w:val="right" w:leader="dot" w:pos="9298"/>
              </w:tabs>
              <w:autoSpaceDE w:val="0"/>
              <w:autoSpaceDN w:val="0"/>
              <w:spacing w:line="240" w:lineRule="auto"/>
              <w:ind w:firstLine="0" w:firstLineChars="0"/>
              <w:jc w:val="center"/>
              <w:rPr>
                <w:kern w:val="0"/>
                <w:szCs w:val="18"/>
              </w:rPr>
            </w:pPr>
            <w:r>
              <w:rPr>
                <w:kern w:val="0"/>
                <w:szCs w:val="18"/>
              </w:rPr>
              <w:t>甲苯</w:t>
            </w:r>
            <w:r>
              <w:rPr>
                <w:rFonts w:hint="eastAsia"/>
                <w:kern w:val="0"/>
                <w:szCs w:val="18"/>
              </w:rPr>
              <w:t>、</w:t>
            </w:r>
            <w:r>
              <w:rPr>
                <w:kern w:val="0"/>
                <w:szCs w:val="18"/>
              </w:rPr>
              <w:t>苯乙烯</w:t>
            </w:r>
            <w:r>
              <w:rPr>
                <w:rFonts w:hint="eastAsia"/>
                <w:kern w:val="0"/>
                <w:szCs w:val="18"/>
              </w:rPr>
              <w:t>、</w:t>
            </w:r>
            <w:r>
              <w:rPr>
                <w:kern w:val="0"/>
                <w:szCs w:val="18"/>
              </w:rPr>
              <w:t>α-甲基苯乙烯</w:t>
            </w:r>
            <w:r>
              <w:rPr>
                <w:rFonts w:hint="eastAsia"/>
                <w:kern w:val="0"/>
                <w:szCs w:val="18"/>
              </w:rPr>
              <w:t>、</w:t>
            </w:r>
            <w:r>
              <w:rPr>
                <w:kern w:val="0"/>
                <w:szCs w:val="18"/>
              </w:rPr>
              <w:t>邻苯二甲酸酐</w:t>
            </w:r>
          </w:p>
        </w:tc>
      </w:tr>
      <w:tr w14:paraId="1681F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240CAA47">
            <w:pPr>
              <w:widowControl/>
              <w:tabs>
                <w:tab w:val="center" w:pos="4201"/>
                <w:tab w:val="right" w:leader="dot" w:pos="9298"/>
              </w:tabs>
              <w:autoSpaceDE w:val="0"/>
              <w:autoSpaceDN w:val="0"/>
              <w:spacing w:line="240" w:lineRule="auto"/>
              <w:jc w:val="center"/>
              <w:rPr>
                <w:kern w:val="0"/>
                <w:szCs w:val="18"/>
              </w:rPr>
            </w:pPr>
            <w:r>
              <w:rPr>
                <w:kern w:val="0"/>
                <w:szCs w:val="18"/>
              </w:rPr>
              <w:t>聚甲基丙烯酸甲酯</w:t>
            </w:r>
            <w:r>
              <w:rPr>
                <w:rFonts w:hint="eastAsia"/>
                <w:kern w:val="0"/>
                <w:szCs w:val="18"/>
              </w:rPr>
              <w:t>（PMMA）</w:t>
            </w:r>
          </w:p>
        </w:tc>
        <w:tc>
          <w:tcPr>
            <w:tcW w:w="5128" w:type="dxa"/>
            <w:shd w:val="clear" w:color="auto" w:fill="auto"/>
            <w:vAlign w:val="center"/>
          </w:tcPr>
          <w:p w14:paraId="6139D8BD">
            <w:pPr>
              <w:widowControl/>
              <w:tabs>
                <w:tab w:val="center" w:pos="4201"/>
                <w:tab w:val="right" w:leader="dot" w:pos="9298"/>
              </w:tabs>
              <w:autoSpaceDE w:val="0"/>
              <w:autoSpaceDN w:val="0"/>
              <w:spacing w:line="240" w:lineRule="auto"/>
              <w:ind w:firstLine="0" w:firstLineChars="0"/>
              <w:jc w:val="center"/>
              <w:rPr>
                <w:kern w:val="0"/>
                <w:szCs w:val="18"/>
              </w:rPr>
            </w:pPr>
            <w:r>
              <w:rPr>
                <w:kern w:val="0"/>
                <w:szCs w:val="18"/>
              </w:rPr>
              <w:t>甲基丙烯酸甲酯</w:t>
            </w:r>
          </w:p>
        </w:tc>
      </w:tr>
      <w:tr w14:paraId="63AD9E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318D794A">
            <w:pPr>
              <w:widowControl/>
              <w:tabs>
                <w:tab w:val="center" w:pos="4201"/>
                <w:tab w:val="right" w:leader="dot" w:pos="9298"/>
              </w:tabs>
              <w:autoSpaceDE w:val="0"/>
              <w:autoSpaceDN w:val="0"/>
              <w:spacing w:line="240" w:lineRule="auto"/>
              <w:jc w:val="center"/>
              <w:rPr>
                <w:kern w:val="0"/>
                <w:szCs w:val="18"/>
              </w:rPr>
            </w:pPr>
            <w:r>
              <w:rPr>
                <w:kern w:val="0"/>
                <w:szCs w:val="18"/>
              </w:rPr>
              <w:t>环氧树脂</w:t>
            </w:r>
            <w:r>
              <w:rPr>
                <w:rFonts w:hint="eastAsia"/>
                <w:kern w:val="0"/>
                <w:szCs w:val="18"/>
              </w:rPr>
              <w:t>（EP）</w:t>
            </w:r>
          </w:p>
        </w:tc>
        <w:tc>
          <w:tcPr>
            <w:tcW w:w="5128" w:type="dxa"/>
            <w:shd w:val="clear" w:color="auto" w:fill="auto"/>
            <w:vAlign w:val="center"/>
          </w:tcPr>
          <w:p w14:paraId="4BB4AD1A">
            <w:pPr>
              <w:widowControl/>
              <w:tabs>
                <w:tab w:val="center" w:pos="4201"/>
                <w:tab w:val="right" w:leader="dot" w:pos="9298"/>
              </w:tabs>
              <w:autoSpaceDE w:val="0"/>
              <w:autoSpaceDN w:val="0"/>
              <w:spacing w:line="240" w:lineRule="auto"/>
              <w:ind w:firstLine="0" w:firstLineChars="0"/>
              <w:jc w:val="center"/>
              <w:rPr>
                <w:kern w:val="0"/>
                <w:szCs w:val="18"/>
              </w:rPr>
            </w:pPr>
            <w:r>
              <w:rPr>
                <w:kern w:val="0"/>
                <w:szCs w:val="18"/>
              </w:rPr>
              <w:t>苯酚</w:t>
            </w:r>
            <w:r>
              <w:rPr>
                <w:rFonts w:hint="eastAsia"/>
                <w:kern w:val="0"/>
                <w:szCs w:val="18"/>
              </w:rPr>
              <w:t>、</w:t>
            </w:r>
            <w:r>
              <w:rPr>
                <w:kern w:val="0"/>
                <w:szCs w:val="18"/>
              </w:rPr>
              <w:t>4-异丙烯基苯酚</w:t>
            </w:r>
            <w:r>
              <w:rPr>
                <w:rFonts w:hint="eastAsia"/>
                <w:kern w:val="0"/>
                <w:szCs w:val="18"/>
              </w:rPr>
              <w:t>、</w:t>
            </w:r>
            <w:r>
              <w:rPr>
                <w:kern w:val="0"/>
                <w:szCs w:val="18"/>
              </w:rPr>
              <w:t>双酚A</w:t>
            </w:r>
          </w:p>
        </w:tc>
      </w:tr>
      <w:tr w14:paraId="1909A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05E4BA13">
            <w:pPr>
              <w:widowControl/>
              <w:tabs>
                <w:tab w:val="center" w:pos="4201"/>
                <w:tab w:val="right" w:leader="dot" w:pos="9298"/>
              </w:tabs>
              <w:autoSpaceDE w:val="0"/>
              <w:autoSpaceDN w:val="0"/>
              <w:spacing w:line="240" w:lineRule="auto"/>
              <w:jc w:val="center"/>
              <w:rPr>
                <w:kern w:val="0"/>
                <w:szCs w:val="18"/>
              </w:rPr>
            </w:pPr>
            <w:r>
              <w:rPr>
                <w:rFonts w:hint="eastAsia"/>
                <w:kern w:val="0"/>
                <w:szCs w:val="18"/>
              </w:rPr>
              <w:t>高密度聚乙烯（HDPE）</w:t>
            </w:r>
          </w:p>
        </w:tc>
        <w:tc>
          <w:tcPr>
            <w:tcW w:w="5128" w:type="dxa"/>
            <w:shd w:val="clear" w:color="auto" w:fill="auto"/>
            <w:vAlign w:val="center"/>
          </w:tcPr>
          <w:p w14:paraId="337668ED">
            <w:pPr>
              <w:widowControl/>
              <w:tabs>
                <w:tab w:val="center" w:pos="4201"/>
                <w:tab w:val="right" w:leader="dot" w:pos="9298"/>
              </w:tabs>
              <w:autoSpaceDE w:val="0"/>
              <w:autoSpaceDN w:val="0"/>
              <w:spacing w:line="240" w:lineRule="auto"/>
              <w:ind w:firstLine="0" w:firstLineChars="0"/>
              <w:jc w:val="center"/>
              <w:rPr>
                <w:kern w:val="0"/>
                <w:szCs w:val="18"/>
              </w:rPr>
            </w:pPr>
            <w:r>
              <w:rPr>
                <w:rFonts w:hint="eastAsia"/>
                <w:kern w:val="0"/>
                <w:szCs w:val="18"/>
              </w:rPr>
              <w:t>C</w:t>
            </w:r>
            <w:r>
              <w:rPr>
                <w:rFonts w:hint="eastAsia"/>
                <w:kern w:val="0"/>
                <w:szCs w:val="18"/>
                <w:vertAlign w:val="subscript"/>
              </w:rPr>
              <w:t>6</w:t>
            </w:r>
            <w:r>
              <w:rPr>
                <w:rFonts w:hint="eastAsia"/>
                <w:kern w:val="0"/>
                <w:szCs w:val="18"/>
              </w:rPr>
              <w:t>及以上烷烃、烯烃、二烯烃</w:t>
            </w:r>
          </w:p>
        </w:tc>
      </w:tr>
      <w:tr w14:paraId="7FAA8D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6C231174">
            <w:pPr>
              <w:widowControl/>
              <w:tabs>
                <w:tab w:val="center" w:pos="4201"/>
                <w:tab w:val="right" w:leader="dot" w:pos="9298"/>
              </w:tabs>
              <w:autoSpaceDE w:val="0"/>
              <w:autoSpaceDN w:val="0"/>
              <w:spacing w:line="240" w:lineRule="auto"/>
              <w:jc w:val="center"/>
              <w:rPr>
                <w:kern w:val="0"/>
                <w:szCs w:val="18"/>
              </w:rPr>
            </w:pPr>
            <w:r>
              <w:rPr>
                <w:rFonts w:hint="eastAsia"/>
                <w:kern w:val="0"/>
                <w:szCs w:val="18"/>
              </w:rPr>
              <w:t>聚丙烯（PP）</w:t>
            </w:r>
          </w:p>
        </w:tc>
        <w:tc>
          <w:tcPr>
            <w:tcW w:w="5128" w:type="dxa"/>
            <w:shd w:val="clear" w:color="auto" w:fill="auto"/>
            <w:vAlign w:val="center"/>
          </w:tcPr>
          <w:p w14:paraId="775A0399">
            <w:pPr>
              <w:widowControl/>
              <w:tabs>
                <w:tab w:val="center" w:pos="4201"/>
                <w:tab w:val="right" w:leader="dot" w:pos="9298"/>
              </w:tabs>
              <w:autoSpaceDE w:val="0"/>
              <w:autoSpaceDN w:val="0"/>
              <w:spacing w:line="240" w:lineRule="auto"/>
              <w:ind w:firstLine="0" w:firstLineChars="0"/>
              <w:jc w:val="center"/>
              <w:rPr>
                <w:kern w:val="0"/>
                <w:szCs w:val="18"/>
              </w:rPr>
            </w:pPr>
            <w:r>
              <w:rPr>
                <w:rFonts w:hint="eastAsia"/>
                <w:kern w:val="0"/>
                <w:szCs w:val="18"/>
              </w:rPr>
              <w:t>丙烯、正戊烷、2-甲基-1-戊烯</w:t>
            </w:r>
          </w:p>
        </w:tc>
      </w:tr>
      <w:tr w14:paraId="28EBF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3B132029">
            <w:pPr>
              <w:widowControl/>
              <w:tabs>
                <w:tab w:val="center" w:pos="4201"/>
                <w:tab w:val="right" w:leader="dot" w:pos="9298"/>
              </w:tabs>
              <w:autoSpaceDE w:val="0"/>
              <w:autoSpaceDN w:val="0"/>
              <w:spacing w:line="240" w:lineRule="auto"/>
              <w:jc w:val="center"/>
              <w:rPr>
                <w:kern w:val="0"/>
                <w:szCs w:val="18"/>
              </w:rPr>
            </w:pPr>
            <w:r>
              <w:rPr>
                <w:rFonts w:hint="eastAsia"/>
                <w:kern w:val="0"/>
                <w:szCs w:val="18"/>
              </w:rPr>
              <w:t>聚氯乙烯（PVC）</w:t>
            </w:r>
          </w:p>
        </w:tc>
        <w:tc>
          <w:tcPr>
            <w:tcW w:w="5128" w:type="dxa"/>
            <w:shd w:val="clear" w:color="auto" w:fill="auto"/>
            <w:vAlign w:val="center"/>
          </w:tcPr>
          <w:p w14:paraId="64F6CF67">
            <w:pPr>
              <w:widowControl/>
              <w:tabs>
                <w:tab w:val="center" w:pos="4201"/>
                <w:tab w:val="right" w:leader="dot" w:pos="9298"/>
              </w:tabs>
              <w:autoSpaceDE w:val="0"/>
              <w:autoSpaceDN w:val="0"/>
              <w:spacing w:line="240" w:lineRule="auto"/>
              <w:ind w:firstLine="0" w:firstLineChars="0"/>
              <w:jc w:val="center"/>
              <w:rPr>
                <w:kern w:val="0"/>
                <w:szCs w:val="18"/>
              </w:rPr>
            </w:pPr>
            <w:r>
              <w:rPr>
                <w:rFonts w:hint="eastAsia"/>
                <w:kern w:val="0"/>
                <w:szCs w:val="18"/>
              </w:rPr>
              <w:t>氯化氢、苯</w:t>
            </w:r>
          </w:p>
        </w:tc>
      </w:tr>
      <w:tr w14:paraId="446A44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43FF913F">
            <w:pPr>
              <w:widowControl/>
              <w:tabs>
                <w:tab w:val="center" w:pos="4201"/>
                <w:tab w:val="right" w:leader="dot" w:pos="9298"/>
              </w:tabs>
              <w:autoSpaceDE w:val="0"/>
              <w:autoSpaceDN w:val="0"/>
              <w:spacing w:line="240" w:lineRule="auto"/>
              <w:jc w:val="center"/>
              <w:rPr>
                <w:kern w:val="0"/>
                <w:szCs w:val="18"/>
              </w:rPr>
            </w:pPr>
            <w:r>
              <w:rPr>
                <w:rFonts w:hint="eastAsia"/>
                <w:kern w:val="0"/>
                <w:szCs w:val="18"/>
              </w:rPr>
              <w:t>聚碳酸酯（PC）</w:t>
            </w:r>
          </w:p>
        </w:tc>
        <w:tc>
          <w:tcPr>
            <w:tcW w:w="5128" w:type="dxa"/>
            <w:shd w:val="clear" w:color="auto" w:fill="auto"/>
            <w:vAlign w:val="center"/>
          </w:tcPr>
          <w:p w14:paraId="12A08FF0">
            <w:pPr>
              <w:widowControl/>
              <w:tabs>
                <w:tab w:val="center" w:pos="4201"/>
                <w:tab w:val="right" w:leader="dot" w:pos="9298"/>
              </w:tabs>
              <w:autoSpaceDE w:val="0"/>
              <w:autoSpaceDN w:val="0"/>
              <w:spacing w:line="240" w:lineRule="auto"/>
              <w:ind w:firstLine="0" w:firstLineChars="0"/>
              <w:jc w:val="center"/>
              <w:rPr>
                <w:kern w:val="0"/>
                <w:szCs w:val="18"/>
              </w:rPr>
            </w:pPr>
            <w:r>
              <w:rPr>
                <w:rFonts w:hint="eastAsia"/>
                <w:kern w:val="0"/>
                <w:szCs w:val="18"/>
              </w:rPr>
              <w:t>苯酚、对甲酚、对乙烯基酚、双酚A</w:t>
            </w:r>
          </w:p>
        </w:tc>
      </w:tr>
      <w:tr w14:paraId="20360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19A5BF72">
            <w:pPr>
              <w:widowControl/>
              <w:tabs>
                <w:tab w:val="center" w:pos="4201"/>
                <w:tab w:val="right" w:leader="dot" w:pos="9298"/>
              </w:tabs>
              <w:autoSpaceDE w:val="0"/>
              <w:autoSpaceDN w:val="0"/>
              <w:spacing w:line="240" w:lineRule="auto"/>
              <w:jc w:val="center"/>
              <w:rPr>
                <w:kern w:val="0"/>
                <w:szCs w:val="18"/>
              </w:rPr>
            </w:pPr>
            <w:r>
              <w:rPr>
                <w:rFonts w:hint="eastAsia"/>
                <w:kern w:val="0"/>
                <w:szCs w:val="18"/>
              </w:rPr>
              <w:t>聚己内酰胺（PA6）</w:t>
            </w:r>
          </w:p>
        </w:tc>
        <w:tc>
          <w:tcPr>
            <w:tcW w:w="5128" w:type="dxa"/>
            <w:shd w:val="clear" w:color="auto" w:fill="auto"/>
            <w:vAlign w:val="center"/>
          </w:tcPr>
          <w:p w14:paraId="448B7A2B">
            <w:pPr>
              <w:widowControl/>
              <w:tabs>
                <w:tab w:val="center" w:pos="4201"/>
                <w:tab w:val="right" w:leader="dot" w:pos="9298"/>
              </w:tabs>
              <w:autoSpaceDE w:val="0"/>
              <w:autoSpaceDN w:val="0"/>
              <w:spacing w:line="240" w:lineRule="auto"/>
              <w:ind w:firstLine="0" w:firstLineChars="0"/>
              <w:jc w:val="center"/>
              <w:rPr>
                <w:rFonts w:asciiTheme="minorEastAsia" w:hAnsiTheme="minorEastAsia" w:cstheme="minorEastAsia"/>
                <w:kern w:val="0"/>
                <w:szCs w:val="18"/>
              </w:rPr>
            </w:pPr>
            <w:r>
              <w:rPr>
                <w:rFonts w:eastAsia="宋体"/>
                <w:kern w:val="0"/>
                <w:szCs w:val="18"/>
              </w:rPr>
              <w:t>ε</w:t>
            </w:r>
            <w:r>
              <w:rPr>
                <w:kern w:val="0"/>
                <w:szCs w:val="18"/>
              </w:rPr>
              <w:t>-己内酰胺</w:t>
            </w:r>
          </w:p>
        </w:tc>
      </w:tr>
      <w:tr w14:paraId="3D066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18DF2647">
            <w:pPr>
              <w:widowControl/>
              <w:tabs>
                <w:tab w:val="center" w:pos="4201"/>
                <w:tab w:val="right" w:leader="dot" w:pos="9298"/>
              </w:tabs>
              <w:autoSpaceDE w:val="0"/>
              <w:autoSpaceDN w:val="0"/>
              <w:spacing w:line="240" w:lineRule="auto"/>
              <w:jc w:val="center"/>
              <w:rPr>
                <w:kern w:val="0"/>
                <w:szCs w:val="18"/>
              </w:rPr>
            </w:pPr>
            <w:r>
              <w:rPr>
                <w:rFonts w:hint="eastAsia"/>
                <w:kern w:val="0"/>
                <w:szCs w:val="18"/>
              </w:rPr>
              <w:t>聚己二酰己二胺（PA66）</w:t>
            </w:r>
          </w:p>
        </w:tc>
        <w:tc>
          <w:tcPr>
            <w:tcW w:w="5128" w:type="dxa"/>
            <w:shd w:val="clear" w:color="auto" w:fill="auto"/>
            <w:vAlign w:val="center"/>
          </w:tcPr>
          <w:p w14:paraId="111FA00D">
            <w:pPr>
              <w:widowControl/>
              <w:tabs>
                <w:tab w:val="center" w:pos="4201"/>
                <w:tab w:val="right" w:leader="dot" w:pos="9298"/>
              </w:tabs>
              <w:autoSpaceDE w:val="0"/>
              <w:autoSpaceDN w:val="0"/>
              <w:spacing w:line="240" w:lineRule="auto"/>
              <w:ind w:firstLine="0" w:firstLineChars="0"/>
              <w:jc w:val="center"/>
              <w:rPr>
                <w:kern w:val="0"/>
                <w:szCs w:val="18"/>
              </w:rPr>
            </w:pPr>
            <w:r>
              <w:rPr>
                <w:rFonts w:hint="eastAsia"/>
                <w:kern w:val="0"/>
                <w:szCs w:val="18"/>
              </w:rPr>
              <w:t>环戊酮、1,6-己二胺</w:t>
            </w:r>
          </w:p>
        </w:tc>
      </w:tr>
      <w:tr w14:paraId="724911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231E6720">
            <w:pPr>
              <w:widowControl/>
              <w:tabs>
                <w:tab w:val="center" w:pos="4201"/>
                <w:tab w:val="right" w:leader="dot" w:pos="9298"/>
              </w:tabs>
              <w:autoSpaceDE w:val="0"/>
              <w:autoSpaceDN w:val="0"/>
              <w:spacing w:line="240" w:lineRule="auto"/>
              <w:jc w:val="center"/>
              <w:rPr>
                <w:kern w:val="0"/>
                <w:szCs w:val="18"/>
              </w:rPr>
            </w:pPr>
            <w:r>
              <w:rPr>
                <w:rFonts w:hint="eastAsia"/>
                <w:kern w:val="0"/>
                <w:szCs w:val="18"/>
              </w:rPr>
              <w:t>聚苯乙烯（PS）</w:t>
            </w:r>
          </w:p>
        </w:tc>
        <w:tc>
          <w:tcPr>
            <w:tcW w:w="5128" w:type="dxa"/>
            <w:shd w:val="clear" w:color="auto" w:fill="auto"/>
            <w:vAlign w:val="center"/>
          </w:tcPr>
          <w:p w14:paraId="68E1B831">
            <w:pPr>
              <w:widowControl/>
              <w:tabs>
                <w:tab w:val="center" w:pos="4201"/>
                <w:tab w:val="right" w:leader="dot" w:pos="9298"/>
              </w:tabs>
              <w:autoSpaceDE w:val="0"/>
              <w:autoSpaceDN w:val="0"/>
              <w:spacing w:line="240" w:lineRule="auto"/>
              <w:ind w:firstLine="0" w:firstLineChars="0"/>
              <w:jc w:val="center"/>
              <w:rPr>
                <w:kern w:val="0"/>
                <w:szCs w:val="18"/>
              </w:rPr>
            </w:pPr>
            <w:r>
              <w:rPr>
                <w:rFonts w:hint="eastAsia"/>
                <w:kern w:val="0"/>
                <w:szCs w:val="18"/>
              </w:rPr>
              <w:t>甲苯、苯</w:t>
            </w:r>
            <w:r>
              <w:rPr>
                <w:kern w:val="0"/>
                <w:szCs w:val="18"/>
              </w:rPr>
              <w:t>乙烯、α-甲基</w:t>
            </w:r>
            <w:r>
              <w:rPr>
                <w:rFonts w:hint="eastAsia"/>
                <w:kern w:val="0"/>
                <w:szCs w:val="18"/>
              </w:rPr>
              <w:t>苯乙烯</w:t>
            </w:r>
          </w:p>
        </w:tc>
      </w:tr>
      <w:tr w14:paraId="6D0360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61D348A4">
            <w:pPr>
              <w:widowControl/>
              <w:tabs>
                <w:tab w:val="center" w:pos="4201"/>
                <w:tab w:val="right" w:leader="dot" w:pos="9298"/>
              </w:tabs>
              <w:autoSpaceDE w:val="0"/>
              <w:autoSpaceDN w:val="0"/>
              <w:spacing w:line="240" w:lineRule="auto"/>
              <w:ind w:firstLine="0" w:firstLineChars="0"/>
              <w:jc w:val="center"/>
              <w:rPr>
                <w:kern w:val="0"/>
                <w:szCs w:val="18"/>
              </w:rPr>
            </w:pPr>
            <w:r>
              <w:rPr>
                <w:rFonts w:hint="eastAsia"/>
                <w:kern w:val="0"/>
                <w:szCs w:val="18"/>
              </w:rPr>
              <w:t>丙烯腈-丁二烯-苯乙烯共聚物（ABS）</w:t>
            </w:r>
          </w:p>
        </w:tc>
        <w:tc>
          <w:tcPr>
            <w:tcW w:w="5128" w:type="dxa"/>
            <w:shd w:val="clear" w:color="auto" w:fill="auto"/>
            <w:vAlign w:val="center"/>
          </w:tcPr>
          <w:p w14:paraId="1009BBF4">
            <w:pPr>
              <w:widowControl/>
              <w:tabs>
                <w:tab w:val="center" w:pos="4201"/>
                <w:tab w:val="right" w:leader="dot" w:pos="9298"/>
              </w:tabs>
              <w:autoSpaceDE w:val="0"/>
              <w:autoSpaceDN w:val="0"/>
              <w:spacing w:line="240" w:lineRule="auto"/>
              <w:ind w:firstLine="0" w:firstLineChars="0"/>
              <w:jc w:val="center"/>
              <w:rPr>
                <w:kern w:val="0"/>
                <w:szCs w:val="18"/>
              </w:rPr>
            </w:pPr>
            <w:r>
              <w:rPr>
                <w:rFonts w:hint="eastAsia"/>
                <w:kern w:val="0"/>
                <w:szCs w:val="18"/>
              </w:rPr>
              <w:t>1,3-丁二烯、丙烯腈、甲苯、苯乙烯、</w:t>
            </w:r>
            <w:r>
              <w:rPr>
                <w:kern w:val="0"/>
                <w:szCs w:val="18"/>
              </w:rPr>
              <w:t>α-甲基</w:t>
            </w:r>
            <w:r>
              <w:rPr>
                <w:rFonts w:hint="eastAsia"/>
                <w:kern w:val="0"/>
                <w:szCs w:val="18"/>
              </w:rPr>
              <w:t>苯乙烯</w:t>
            </w:r>
          </w:p>
        </w:tc>
      </w:tr>
      <w:tr w14:paraId="589EF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237F7048">
            <w:pPr>
              <w:widowControl/>
              <w:tabs>
                <w:tab w:val="center" w:pos="4201"/>
                <w:tab w:val="right" w:leader="dot" w:pos="9298"/>
              </w:tabs>
              <w:autoSpaceDE w:val="0"/>
              <w:autoSpaceDN w:val="0"/>
              <w:spacing w:line="240" w:lineRule="auto"/>
              <w:jc w:val="center"/>
              <w:rPr>
                <w:kern w:val="0"/>
                <w:szCs w:val="18"/>
              </w:rPr>
            </w:pPr>
            <w:r>
              <w:rPr>
                <w:rFonts w:hint="eastAsia"/>
                <w:kern w:val="0"/>
                <w:szCs w:val="18"/>
              </w:rPr>
              <w:t>乙烯-乙酸乙烯酯共聚物（EVA）</w:t>
            </w:r>
          </w:p>
        </w:tc>
        <w:tc>
          <w:tcPr>
            <w:tcW w:w="5128" w:type="dxa"/>
            <w:shd w:val="clear" w:color="auto" w:fill="auto"/>
            <w:vAlign w:val="center"/>
          </w:tcPr>
          <w:p w14:paraId="27D8EB9D">
            <w:pPr>
              <w:widowControl/>
              <w:tabs>
                <w:tab w:val="center" w:pos="4201"/>
                <w:tab w:val="right" w:leader="dot" w:pos="9298"/>
              </w:tabs>
              <w:autoSpaceDE w:val="0"/>
              <w:autoSpaceDN w:val="0"/>
              <w:spacing w:line="240" w:lineRule="auto"/>
              <w:ind w:firstLine="0" w:firstLineChars="0"/>
              <w:jc w:val="center"/>
              <w:rPr>
                <w:kern w:val="0"/>
                <w:szCs w:val="18"/>
              </w:rPr>
            </w:pPr>
            <w:r>
              <w:rPr>
                <w:rFonts w:hint="eastAsia"/>
                <w:kern w:val="0"/>
                <w:szCs w:val="18"/>
              </w:rPr>
              <w:t>乙酸、C</w:t>
            </w:r>
            <w:r>
              <w:rPr>
                <w:rFonts w:hint="eastAsia"/>
                <w:kern w:val="0"/>
                <w:szCs w:val="18"/>
                <w:vertAlign w:val="subscript"/>
              </w:rPr>
              <w:t>6</w:t>
            </w:r>
            <w:r>
              <w:rPr>
                <w:rFonts w:hint="eastAsia"/>
                <w:kern w:val="0"/>
                <w:szCs w:val="18"/>
              </w:rPr>
              <w:t>及以上烷烃、烯烃、二烯烃</w:t>
            </w:r>
          </w:p>
        </w:tc>
      </w:tr>
      <w:tr w14:paraId="72A8F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7FF626DC">
            <w:pPr>
              <w:widowControl/>
              <w:tabs>
                <w:tab w:val="center" w:pos="4201"/>
                <w:tab w:val="right" w:leader="dot" w:pos="9298"/>
              </w:tabs>
              <w:autoSpaceDE w:val="0"/>
              <w:autoSpaceDN w:val="0"/>
              <w:spacing w:line="240" w:lineRule="auto"/>
              <w:jc w:val="center"/>
              <w:rPr>
                <w:kern w:val="0"/>
                <w:szCs w:val="18"/>
              </w:rPr>
            </w:pPr>
            <w:r>
              <w:rPr>
                <w:rFonts w:hint="eastAsia"/>
                <w:kern w:val="0"/>
                <w:szCs w:val="18"/>
              </w:rPr>
              <w:t>甲基丙烯酸甲酯-丁二烯-苯乙烯三元共聚物（</w:t>
            </w:r>
            <w:r>
              <w:rPr>
                <w:kern w:val="0"/>
                <w:szCs w:val="18"/>
              </w:rPr>
              <w:t>MBS</w:t>
            </w:r>
            <w:r>
              <w:rPr>
                <w:rFonts w:hint="eastAsia"/>
                <w:kern w:val="0"/>
                <w:szCs w:val="18"/>
              </w:rPr>
              <w:t>）</w:t>
            </w:r>
          </w:p>
        </w:tc>
        <w:tc>
          <w:tcPr>
            <w:tcW w:w="5128" w:type="dxa"/>
            <w:shd w:val="clear" w:color="auto" w:fill="auto"/>
            <w:vAlign w:val="center"/>
          </w:tcPr>
          <w:p w14:paraId="57266E71">
            <w:pPr>
              <w:widowControl/>
              <w:tabs>
                <w:tab w:val="center" w:pos="4201"/>
                <w:tab w:val="right" w:leader="dot" w:pos="9298"/>
              </w:tabs>
              <w:autoSpaceDE w:val="0"/>
              <w:autoSpaceDN w:val="0"/>
              <w:spacing w:line="240" w:lineRule="auto"/>
              <w:ind w:firstLine="0" w:firstLineChars="0"/>
              <w:jc w:val="center"/>
              <w:rPr>
                <w:kern w:val="0"/>
                <w:szCs w:val="18"/>
              </w:rPr>
            </w:pPr>
            <w:r>
              <w:rPr>
                <w:rFonts w:hint="eastAsia"/>
                <w:kern w:val="0"/>
                <w:szCs w:val="18"/>
              </w:rPr>
              <w:t>甲基丙烯酸甲酯、甲苯、4</w:t>
            </w:r>
            <w:r>
              <w:rPr>
                <w:kern w:val="0"/>
                <w:szCs w:val="18"/>
              </w:rPr>
              <w:t>-</w:t>
            </w:r>
            <w:r>
              <w:rPr>
                <w:rFonts w:hint="eastAsia"/>
                <w:kern w:val="0"/>
                <w:szCs w:val="18"/>
              </w:rPr>
              <w:t>乙烯基环己烯、苯乙烯</w:t>
            </w:r>
          </w:p>
        </w:tc>
      </w:tr>
      <w:bookmarkEnd w:id="79"/>
      <w:bookmarkEnd w:id="80"/>
    </w:tbl>
    <w:p w14:paraId="7484D0D5">
      <w:pPr>
        <w:pStyle w:val="6"/>
        <w:ind w:firstLine="0" w:firstLineChars="0"/>
        <w:rPr>
          <w:rStyle w:val="171"/>
          <w:rFonts w:ascii="Times New Roman"/>
          <w:kern w:val="21"/>
        </w:rPr>
      </w:pPr>
    </w:p>
    <w:p w14:paraId="0D60704F">
      <w:pPr>
        <w:pStyle w:val="6"/>
        <w:ind w:firstLine="0" w:firstLineChars="0"/>
        <w:rPr>
          <w:rStyle w:val="171"/>
          <w:rFonts w:ascii="Times New Roman"/>
          <w:kern w:val="21"/>
        </w:rPr>
      </w:pPr>
    </w:p>
    <w:p w14:paraId="3D831007">
      <w:pPr>
        <w:pStyle w:val="6"/>
        <w:ind w:firstLine="0" w:firstLineChars="0"/>
        <w:rPr>
          <w:rStyle w:val="171"/>
          <w:rFonts w:ascii="Times New Roman"/>
          <w:kern w:val="21"/>
        </w:rPr>
      </w:pPr>
    </w:p>
    <w:p w14:paraId="0A79693A">
      <w:pPr>
        <w:pStyle w:val="6"/>
        <w:ind w:firstLine="0" w:firstLineChars="0"/>
        <w:rPr>
          <w:rStyle w:val="171"/>
          <w:rFonts w:ascii="Times New Roman"/>
          <w:kern w:val="21"/>
        </w:rPr>
      </w:pPr>
    </w:p>
    <w:p w14:paraId="4C2A8210">
      <w:pPr>
        <w:pStyle w:val="6"/>
        <w:ind w:firstLine="0" w:firstLineChars="0"/>
        <w:rPr>
          <w:rStyle w:val="171"/>
          <w:rFonts w:ascii="Times New Roman"/>
          <w:kern w:val="21"/>
        </w:rPr>
      </w:pPr>
    </w:p>
    <w:p w14:paraId="3254E160">
      <w:pPr>
        <w:pStyle w:val="6"/>
        <w:ind w:firstLine="0" w:firstLineChars="0"/>
        <w:rPr>
          <w:rStyle w:val="171"/>
          <w:rFonts w:ascii="Times New Roman"/>
          <w:kern w:val="21"/>
        </w:rPr>
      </w:pPr>
    </w:p>
    <w:p w14:paraId="32BB4713">
      <w:pPr>
        <w:pStyle w:val="6"/>
        <w:ind w:firstLine="0" w:firstLineChars="0"/>
        <w:rPr>
          <w:rStyle w:val="171"/>
          <w:rFonts w:ascii="Times New Roman"/>
          <w:kern w:val="21"/>
        </w:rPr>
      </w:pPr>
    </w:p>
    <w:p w14:paraId="0FCCD737">
      <w:pPr>
        <w:pStyle w:val="6"/>
        <w:ind w:firstLine="0" w:firstLineChars="0"/>
        <w:rPr>
          <w:rStyle w:val="171"/>
          <w:rFonts w:ascii="Times New Roman"/>
          <w:kern w:val="21"/>
        </w:rPr>
      </w:pPr>
    </w:p>
    <w:p w14:paraId="4F6C487D">
      <w:pPr>
        <w:pStyle w:val="6"/>
        <w:ind w:firstLine="0" w:firstLineChars="0"/>
        <w:rPr>
          <w:rStyle w:val="171"/>
          <w:rFonts w:ascii="Times New Roman"/>
          <w:kern w:val="21"/>
        </w:rPr>
      </w:pPr>
    </w:p>
    <w:p w14:paraId="7906E685">
      <w:pPr>
        <w:pStyle w:val="6"/>
        <w:ind w:firstLine="0" w:firstLineChars="0"/>
        <w:rPr>
          <w:rStyle w:val="171"/>
          <w:rFonts w:ascii="Times New Roman"/>
          <w:kern w:val="21"/>
        </w:rPr>
      </w:pPr>
    </w:p>
    <w:p w14:paraId="15740374">
      <w:pPr>
        <w:pStyle w:val="6"/>
        <w:ind w:firstLine="0" w:firstLineChars="0"/>
        <w:rPr>
          <w:rStyle w:val="171"/>
          <w:rFonts w:ascii="Times New Roman"/>
          <w:kern w:val="21"/>
        </w:rPr>
      </w:pPr>
    </w:p>
    <w:p w14:paraId="0FB4BAF5">
      <w:pPr>
        <w:pStyle w:val="6"/>
        <w:ind w:firstLine="0" w:firstLineChars="0"/>
        <w:rPr>
          <w:rStyle w:val="171"/>
          <w:rFonts w:ascii="Times New Roman"/>
          <w:kern w:val="21"/>
        </w:rPr>
      </w:pPr>
    </w:p>
    <w:p w14:paraId="1EBB3D95">
      <w:pPr>
        <w:pStyle w:val="6"/>
        <w:ind w:firstLine="0" w:firstLineChars="0"/>
        <w:rPr>
          <w:rStyle w:val="171"/>
          <w:rFonts w:ascii="Times New Roman"/>
          <w:kern w:val="21"/>
        </w:rPr>
      </w:pPr>
    </w:p>
    <w:p w14:paraId="6358E389">
      <w:pPr>
        <w:pStyle w:val="6"/>
        <w:ind w:firstLine="0" w:firstLineChars="0"/>
        <w:rPr>
          <w:rStyle w:val="171"/>
          <w:rFonts w:ascii="Times New Roman"/>
          <w:kern w:val="21"/>
        </w:rPr>
      </w:pPr>
    </w:p>
    <w:p w14:paraId="42E938C7">
      <w:pPr>
        <w:pStyle w:val="6"/>
        <w:ind w:firstLine="0" w:firstLineChars="0"/>
        <w:rPr>
          <w:rStyle w:val="171"/>
          <w:rFonts w:ascii="Times New Roman"/>
          <w:kern w:val="21"/>
        </w:rPr>
      </w:pPr>
    </w:p>
    <w:p w14:paraId="4BE883FA">
      <w:pPr>
        <w:pStyle w:val="6"/>
        <w:ind w:firstLine="0" w:firstLineChars="0"/>
        <w:rPr>
          <w:rStyle w:val="171"/>
          <w:rFonts w:ascii="Times New Roman"/>
          <w:kern w:val="21"/>
        </w:rPr>
      </w:pPr>
    </w:p>
    <w:p w14:paraId="43B5A744">
      <w:pPr>
        <w:pStyle w:val="6"/>
        <w:ind w:firstLine="0" w:firstLineChars="0"/>
        <w:rPr>
          <w:rStyle w:val="171"/>
          <w:rFonts w:ascii="Times New Roman"/>
          <w:kern w:val="21"/>
        </w:rPr>
      </w:pPr>
    </w:p>
    <w:p w14:paraId="1027A69F">
      <w:pPr>
        <w:pStyle w:val="6"/>
        <w:ind w:firstLine="0" w:firstLineChars="0"/>
        <w:rPr>
          <w:rStyle w:val="171"/>
          <w:rFonts w:hint="eastAsia" w:ascii="Times New Roman"/>
          <w:kern w:val="21"/>
        </w:rPr>
      </w:pPr>
    </w:p>
    <w:p w14:paraId="1F5C0F3B">
      <w:pPr>
        <w:pStyle w:val="175"/>
        <w:spacing w:after="0" w:afterLines="0"/>
      </w:pPr>
    </w:p>
    <w:p w14:paraId="7A1B035B">
      <w:pPr>
        <w:pStyle w:val="124"/>
        <w:keepNext w:val="0"/>
        <w:spacing w:before="0" w:after="0" w:line="240" w:lineRule="auto"/>
        <w:ind w:firstLine="0" w:firstLineChars="0"/>
      </w:pPr>
      <w:r>
        <w:rPr>
          <w:rFonts w:hint="eastAsia"/>
        </w:rPr>
        <w:t>（资料性）</w:t>
      </w:r>
    </w:p>
    <w:p w14:paraId="533FD91E">
      <w:pPr>
        <w:pStyle w:val="124"/>
        <w:keepNext w:val="0"/>
        <w:spacing w:before="0" w:after="0" w:line="240" w:lineRule="auto"/>
      </w:pPr>
      <w:r>
        <w:rPr>
          <w:rFonts w:hint="eastAsia"/>
        </w:rPr>
        <w:t>部分塑料制品</w:t>
      </w:r>
      <w:r>
        <w:rPr>
          <w:rFonts w:hint="eastAsia"/>
          <w:lang w:val="en-US" w:eastAsia="zh-CN"/>
        </w:rPr>
        <w:t>有机碱</w:t>
      </w:r>
      <w:r>
        <w:rPr>
          <w:rFonts w:hint="eastAsia"/>
        </w:rPr>
        <w:t>裂解产物</w:t>
      </w:r>
    </w:p>
    <w:p w14:paraId="72026C99">
      <w:pPr>
        <w:pStyle w:val="6"/>
        <w:spacing w:line="240" w:lineRule="auto"/>
        <w:rPr>
          <w:rFonts w:ascii="Times New Roman"/>
        </w:rPr>
      </w:pPr>
      <w:r>
        <w:rPr>
          <w:rFonts w:hint="eastAsia"/>
        </w:rPr>
        <w:t>部分加入有机碱热解</w:t>
      </w:r>
      <w:r>
        <w:rPr>
          <w:rFonts w:hint="eastAsia"/>
          <w:lang w:val="en-US" w:eastAsia="zh-CN"/>
        </w:rPr>
        <w:t>的</w:t>
      </w:r>
      <w:r>
        <w:rPr>
          <w:rFonts w:hint="eastAsia"/>
        </w:rPr>
        <w:t>塑料制品可以产生典型的特征裂解产物</w:t>
      </w:r>
      <w:r>
        <w:rPr>
          <w:rFonts w:ascii="Times New Roman"/>
        </w:rPr>
        <w:t>，</w:t>
      </w:r>
      <w:r>
        <w:rPr>
          <w:rFonts w:hint="eastAsia" w:ascii="Times New Roman"/>
        </w:rPr>
        <w:t>常见建筑塑料制品中树脂的</w:t>
      </w:r>
      <w:r>
        <w:rPr>
          <w:rFonts w:hint="eastAsia" w:ascii="Times New Roman"/>
          <w:lang w:val="en-US" w:eastAsia="zh-CN"/>
        </w:rPr>
        <w:t>有机碱</w:t>
      </w:r>
      <w:r>
        <w:rPr>
          <w:rFonts w:hint="eastAsia" w:ascii="Times New Roman"/>
        </w:rPr>
        <w:t>分特征裂解产物见表</w:t>
      </w:r>
      <w:r>
        <w:rPr>
          <w:rFonts w:ascii="Times New Roman"/>
        </w:rPr>
        <w:t>C.1。</w:t>
      </w:r>
      <w:bookmarkStart w:id="89" w:name="_GoBack"/>
      <w:bookmarkEnd w:id="89"/>
    </w:p>
    <w:p w14:paraId="2A1FAF16">
      <w:pPr>
        <w:pStyle w:val="173"/>
        <w:numPr>
          <w:ilvl w:val="1"/>
          <w:numId w:val="7"/>
        </w:numPr>
        <w:spacing w:before="156" w:after="156"/>
      </w:pPr>
      <w:r>
        <w:rPr>
          <w:rFonts w:hint="eastAsia"/>
        </w:rPr>
        <w:t>常见加入有机碱热解建筑塑料制品的部分特征裂解产物</w:t>
      </w:r>
    </w:p>
    <w:tbl>
      <w:tblPr>
        <w:tblStyle w:val="3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35"/>
        <w:gridCol w:w="5128"/>
      </w:tblGrid>
      <w:tr w14:paraId="1212C0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03DCEEBC">
            <w:pPr>
              <w:widowControl/>
              <w:tabs>
                <w:tab w:val="center" w:pos="4201"/>
                <w:tab w:val="right" w:leader="dot" w:pos="9298"/>
              </w:tabs>
              <w:autoSpaceDE w:val="0"/>
              <w:autoSpaceDN w:val="0"/>
              <w:spacing w:line="240" w:lineRule="auto"/>
              <w:jc w:val="center"/>
              <w:rPr>
                <w:kern w:val="0"/>
                <w:szCs w:val="18"/>
              </w:rPr>
            </w:pPr>
            <w:r>
              <w:rPr>
                <w:kern w:val="0"/>
                <w:szCs w:val="18"/>
              </w:rPr>
              <w:t>树脂类型</w:t>
            </w:r>
          </w:p>
        </w:tc>
        <w:tc>
          <w:tcPr>
            <w:tcW w:w="5128" w:type="dxa"/>
            <w:shd w:val="clear" w:color="auto" w:fill="auto"/>
            <w:vAlign w:val="center"/>
          </w:tcPr>
          <w:p w14:paraId="3D32E97E">
            <w:pPr>
              <w:widowControl/>
              <w:tabs>
                <w:tab w:val="center" w:pos="4201"/>
                <w:tab w:val="right" w:leader="dot" w:pos="9298"/>
              </w:tabs>
              <w:autoSpaceDE w:val="0"/>
              <w:autoSpaceDN w:val="0"/>
              <w:spacing w:line="240" w:lineRule="auto"/>
              <w:jc w:val="center"/>
              <w:rPr>
                <w:kern w:val="0"/>
                <w:szCs w:val="18"/>
              </w:rPr>
            </w:pPr>
            <w:r>
              <w:rPr>
                <w:kern w:val="0"/>
                <w:szCs w:val="18"/>
              </w:rPr>
              <w:t>主要裂解产物</w:t>
            </w:r>
          </w:p>
        </w:tc>
      </w:tr>
      <w:tr w14:paraId="094F0F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1D56B4F9">
            <w:pPr>
              <w:widowControl/>
              <w:tabs>
                <w:tab w:val="center" w:pos="4201"/>
                <w:tab w:val="right" w:leader="dot" w:pos="9298"/>
              </w:tabs>
              <w:autoSpaceDE w:val="0"/>
              <w:autoSpaceDN w:val="0"/>
              <w:spacing w:line="240" w:lineRule="auto"/>
              <w:jc w:val="center"/>
              <w:rPr>
                <w:kern w:val="0"/>
                <w:szCs w:val="18"/>
              </w:rPr>
            </w:pPr>
            <w:r>
              <w:rPr>
                <w:rFonts w:hint="eastAsia"/>
                <w:kern w:val="0"/>
                <w:szCs w:val="18"/>
              </w:rPr>
              <w:t>聚对苯二甲酸乙二酯（PET）</w:t>
            </w:r>
          </w:p>
        </w:tc>
        <w:tc>
          <w:tcPr>
            <w:tcW w:w="5128" w:type="dxa"/>
            <w:shd w:val="clear" w:color="auto" w:fill="auto"/>
            <w:vAlign w:val="center"/>
          </w:tcPr>
          <w:p w14:paraId="2C39E712">
            <w:pPr>
              <w:widowControl/>
              <w:tabs>
                <w:tab w:val="center" w:pos="4201"/>
                <w:tab w:val="right" w:leader="dot" w:pos="9298"/>
              </w:tabs>
              <w:autoSpaceDE w:val="0"/>
              <w:autoSpaceDN w:val="0"/>
              <w:spacing w:line="240" w:lineRule="auto"/>
              <w:ind w:firstLine="0" w:firstLineChars="0"/>
              <w:jc w:val="center"/>
              <w:rPr>
                <w:kern w:val="0"/>
                <w:szCs w:val="18"/>
              </w:rPr>
            </w:pPr>
            <w:r>
              <w:rPr>
                <w:rFonts w:hint="eastAsia"/>
                <w:kern w:val="0"/>
                <w:szCs w:val="18"/>
              </w:rPr>
              <w:t>甲氧基乙醇、乙基二甲基醚、对苯二甲酸二甲酯</w:t>
            </w:r>
          </w:p>
        </w:tc>
      </w:tr>
      <w:tr w14:paraId="1316D7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48610C7B">
            <w:pPr>
              <w:widowControl/>
              <w:tabs>
                <w:tab w:val="center" w:pos="4201"/>
                <w:tab w:val="right" w:leader="dot" w:pos="9298"/>
              </w:tabs>
              <w:autoSpaceDE w:val="0"/>
              <w:autoSpaceDN w:val="0"/>
              <w:spacing w:line="240" w:lineRule="auto"/>
              <w:jc w:val="center"/>
              <w:rPr>
                <w:kern w:val="0"/>
                <w:szCs w:val="18"/>
              </w:rPr>
            </w:pPr>
            <w:r>
              <w:rPr>
                <w:rFonts w:hint="eastAsia"/>
                <w:kern w:val="0"/>
                <w:szCs w:val="18"/>
              </w:rPr>
              <w:t>聚对苯二甲酸丁二酯（P</w:t>
            </w:r>
            <w:r>
              <w:rPr>
                <w:kern w:val="0"/>
                <w:szCs w:val="18"/>
              </w:rPr>
              <w:t>B</w:t>
            </w:r>
            <w:r>
              <w:rPr>
                <w:rFonts w:hint="eastAsia"/>
                <w:kern w:val="0"/>
                <w:szCs w:val="18"/>
              </w:rPr>
              <w:t>T）</w:t>
            </w:r>
          </w:p>
        </w:tc>
        <w:tc>
          <w:tcPr>
            <w:tcW w:w="5128" w:type="dxa"/>
            <w:shd w:val="clear" w:color="auto" w:fill="auto"/>
            <w:vAlign w:val="center"/>
          </w:tcPr>
          <w:p w14:paraId="3719937F">
            <w:pPr>
              <w:widowControl/>
              <w:tabs>
                <w:tab w:val="center" w:pos="4201"/>
                <w:tab w:val="right" w:leader="dot" w:pos="9298"/>
              </w:tabs>
              <w:autoSpaceDE w:val="0"/>
              <w:autoSpaceDN w:val="0"/>
              <w:spacing w:line="240" w:lineRule="auto"/>
              <w:ind w:firstLine="0" w:firstLineChars="0"/>
              <w:jc w:val="center"/>
              <w:rPr>
                <w:rFonts w:asciiTheme="minorEastAsia" w:hAnsiTheme="minorEastAsia" w:cstheme="minorEastAsia"/>
                <w:kern w:val="0"/>
                <w:szCs w:val="18"/>
              </w:rPr>
            </w:pPr>
            <w:r>
              <w:rPr>
                <w:rFonts w:eastAsia="宋体"/>
                <w:kern w:val="0"/>
                <w:szCs w:val="18"/>
              </w:rPr>
              <w:t>1</w:t>
            </w:r>
            <w:r>
              <w:rPr>
                <w:rFonts w:hint="eastAsia" w:eastAsia="宋体"/>
                <w:kern w:val="0"/>
                <w:szCs w:val="18"/>
              </w:rPr>
              <w:t>，4</w:t>
            </w:r>
            <w:r>
              <w:rPr>
                <w:rFonts w:eastAsia="宋体"/>
                <w:kern w:val="0"/>
                <w:szCs w:val="18"/>
              </w:rPr>
              <w:t>-</w:t>
            </w:r>
            <w:r>
              <w:rPr>
                <w:rFonts w:hint="eastAsia" w:eastAsia="宋体"/>
                <w:kern w:val="0"/>
                <w:szCs w:val="18"/>
              </w:rPr>
              <w:t>二甲氧基丁烷，丁二醇甲醚，</w:t>
            </w:r>
            <w:r>
              <w:rPr>
                <w:rFonts w:hint="eastAsia"/>
                <w:kern w:val="0"/>
                <w:szCs w:val="18"/>
              </w:rPr>
              <w:t>对苯二甲酸二甲酯</w:t>
            </w:r>
          </w:p>
        </w:tc>
      </w:tr>
      <w:tr w14:paraId="4CBFCD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835" w:type="dxa"/>
            <w:shd w:val="clear" w:color="auto" w:fill="auto"/>
            <w:vAlign w:val="center"/>
          </w:tcPr>
          <w:p w14:paraId="24DF2FAF">
            <w:pPr>
              <w:widowControl/>
              <w:tabs>
                <w:tab w:val="center" w:pos="4201"/>
                <w:tab w:val="right" w:leader="dot" w:pos="9298"/>
              </w:tabs>
              <w:autoSpaceDE w:val="0"/>
              <w:autoSpaceDN w:val="0"/>
              <w:spacing w:line="240" w:lineRule="auto"/>
              <w:jc w:val="center"/>
              <w:rPr>
                <w:kern w:val="0"/>
                <w:szCs w:val="18"/>
              </w:rPr>
            </w:pPr>
            <w:r>
              <w:rPr>
                <w:kern w:val="0"/>
                <w:szCs w:val="18"/>
              </w:rPr>
              <w:t>不饱和聚酯</w:t>
            </w:r>
            <w:r>
              <w:rPr>
                <w:rFonts w:hint="eastAsia"/>
                <w:kern w:val="0"/>
                <w:szCs w:val="18"/>
              </w:rPr>
              <w:t>（UR）</w:t>
            </w:r>
          </w:p>
        </w:tc>
        <w:tc>
          <w:tcPr>
            <w:tcW w:w="5128" w:type="dxa"/>
            <w:shd w:val="clear" w:color="auto" w:fill="auto"/>
            <w:vAlign w:val="center"/>
          </w:tcPr>
          <w:p w14:paraId="2ED269FF">
            <w:pPr>
              <w:widowControl/>
              <w:tabs>
                <w:tab w:val="center" w:pos="4201"/>
                <w:tab w:val="right" w:leader="dot" w:pos="9298"/>
              </w:tabs>
              <w:autoSpaceDE w:val="0"/>
              <w:autoSpaceDN w:val="0"/>
              <w:spacing w:line="240" w:lineRule="auto"/>
              <w:ind w:firstLine="0" w:firstLineChars="0"/>
              <w:jc w:val="center"/>
              <w:rPr>
                <w:kern w:val="0"/>
                <w:szCs w:val="18"/>
              </w:rPr>
            </w:pPr>
            <w:r>
              <w:rPr>
                <w:rFonts w:hint="eastAsia"/>
                <w:kern w:val="0"/>
                <w:szCs w:val="18"/>
              </w:rPr>
              <w:t>乙基二甲醚、</w:t>
            </w:r>
            <w:r>
              <w:rPr>
                <w:kern w:val="0"/>
                <w:szCs w:val="18"/>
              </w:rPr>
              <w:t>苯乙烯</w:t>
            </w:r>
            <w:r>
              <w:rPr>
                <w:rFonts w:hint="eastAsia"/>
                <w:kern w:val="0"/>
                <w:szCs w:val="18"/>
              </w:rPr>
              <w:t>、富马酸二甲酯、苯甲酸甲酯</w:t>
            </w:r>
          </w:p>
        </w:tc>
      </w:tr>
    </w:tbl>
    <w:p w14:paraId="0E74B339">
      <w:pPr>
        <w:pStyle w:val="6"/>
        <w:ind w:firstLine="0" w:firstLineChars="0"/>
        <w:rPr>
          <w:rStyle w:val="171"/>
          <w:rFonts w:ascii="Times New Roman"/>
          <w:kern w:val="21"/>
        </w:rPr>
      </w:pPr>
    </w:p>
    <w:p w14:paraId="58F7BC5A">
      <w:pPr>
        <w:pStyle w:val="6"/>
        <w:ind w:firstLine="0" w:firstLineChars="0"/>
        <w:rPr>
          <w:rStyle w:val="171"/>
          <w:rFonts w:hint="eastAsia" w:ascii="Times New Roman"/>
          <w:kern w:val="21"/>
        </w:rPr>
      </w:pPr>
    </w:p>
    <w:p w14:paraId="1EED864C">
      <w:pPr>
        <w:pStyle w:val="6"/>
        <w:ind w:firstLine="0" w:firstLineChars="0"/>
      </w:pPr>
    </w:p>
    <w:p w14:paraId="4C6BA84D">
      <w:pPr>
        <w:pStyle w:val="6"/>
        <w:ind w:firstLine="0" w:firstLineChars="0"/>
      </w:pPr>
    </w:p>
    <w:p w14:paraId="5864D408">
      <w:pPr>
        <w:pStyle w:val="6"/>
        <w:ind w:firstLine="0" w:firstLineChars="0"/>
      </w:pPr>
    </w:p>
    <w:p w14:paraId="7712B541">
      <w:pPr>
        <w:pStyle w:val="6"/>
        <w:ind w:firstLine="0" w:firstLineChars="0"/>
      </w:pPr>
    </w:p>
    <w:p w14:paraId="2896516B">
      <w:pPr>
        <w:pStyle w:val="6"/>
        <w:ind w:firstLine="0" w:firstLineChars="0"/>
      </w:pPr>
    </w:p>
    <w:p w14:paraId="23AFC17C">
      <w:pPr>
        <w:pStyle w:val="6"/>
        <w:ind w:firstLine="0" w:firstLineChars="0"/>
      </w:pPr>
    </w:p>
    <w:p w14:paraId="19C7246F">
      <w:pPr>
        <w:pStyle w:val="6"/>
        <w:ind w:firstLine="0" w:firstLineChars="0"/>
      </w:pPr>
    </w:p>
    <w:p w14:paraId="1816B33A">
      <w:pPr>
        <w:pStyle w:val="6"/>
        <w:ind w:firstLine="0" w:firstLineChars="0"/>
      </w:pPr>
    </w:p>
    <w:p w14:paraId="3F1B1525">
      <w:pPr>
        <w:pStyle w:val="6"/>
        <w:ind w:firstLine="0" w:firstLineChars="0"/>
      </w:pPr>
    </w:p>
    <w:p w14:paraId="78CE15D8">
      <w:pPr>
        <w:pStyle w:val="6"/>
        <w:ind w:firstLine="0" w:firstLineChars="0"/>
      </w:pPr>
    </w:p>
    <w:p w14:paraId="21C4ABE0">
      <w:pPr>
        <w:pStyle w:val="6"/>
        <w:ind w:firstLine="0" w:firstLineChars="0"/>
      </w:pPr>
    </w:p>
    <w:p w14:paraId="46E0775F">
      <w:pPr>
        <w:pStyle w:val="6"/>
        <w:ind w:firstLine="0" w:firstLineChars="0"/>
      </w:pPr>
    </w:p>
    <w:bookmarkEnd w:id="68"/>
    <w:bookmarkEnd w:id="69"/>
    <w:bookmarkEnd w:id="70"/>
    <w:bookmarkEnd w:id="71"/>
    <w:bookmarkEnd w:id="72"/>
    <w:bookmarkEnd w:id="73"/>
    <w:p w14:paraId="570E211F">
      <w:pPr>
        <w:pStyle w:val="87"/>
        <w:keepNext w:val="0"/>
      </w:pPr>
      <w:bookmarkStart w:id="81" w:name="BKCKWX"/>
      <w:bookmarkStart w:id="82" w:name="_Toc5234"/>
      <w:bookmarkStart w:id="83" w:name="_Toc37596464"/>
      <w:bookmarkStart w:id="84" w:name="_Toc37593898"/>
      <w:bookmarkStart w:id="85" w:name="_Toc17468"/>
      <w:bookmarkStart w:id="86" w:name="_Toc37589954"/>
      <w:bookmarkStart w:id="87" w:name="_Toc51570703"/>
      <w:bookmarkStart w:id="88" w:name="_Toc40343628"/>
      <w:r>
        <w:rPr>
          <w:rFonts w:hint="eastAsia"/>
        </w:rPr>
        <w:t>参</w:t>
      </w:r>
      <w:r>
        <w:rPr>
          <w:rFonts w:hint="eastAsia" w:ascii="MS Mincho" w:hAnsi="MS Mincho" w:eastAsia="MS Mincho" w:cs="MS Mincho"/>
        </w:rPr>
        <w:t> </w:t>
      </w:r>
      <w:r>
        <w:rPr>
          <w:rFonts w:hint="eastAsia"/>
        </w:rPr>
        <w:t>考</w:t>
      </w:r>
      <w:r>
        <w:rPr>
          <w:rFonts w:hint="eastAsia" w:ascii="MS Mincho" w:hAnsi="MS Mincho" w:eastAsia="MS Mincho" w:cs="MS Mincho"/>
        </w:rPr>
        <w:t> </w:t>
      </w:r>
      <w:r>
        <w:rPr>
          <w:rFonts w:hint="eastAsia"/>
        </w:rPr>
        <w:t>文</w:t>
      </w:r>
      <w:r>
        <w:rPr>
          <w:rFonts w:hint="eastAsia" w:ascii="MS Mincho" w:hAnsi="MS Mincho" w:eastAsia="MS Mincho" w:cs="MS Mincho"/>
        </w:rPr>
        <w:t> </w:t>
      </w:r>
      <w:r>
        <w:rPr>
          <w:rFonts w:hint="eastAsia"/>
        </w:rPr>
        <w:t>献</w:t>
      </w:r>
      <w:bookmarkEnd w:id="81"/>
      <w:bookmarkEnd w:id="82"/>
      <w:bookmarkEnd w:id="83"/>
      <w:bookmarkEnd w:id="84"/>
      <w:bookmarkEnd w:id="85"/>
      <w:bookmarkEnd w:id="86"/>
      <w:bookmarkEnd w:id="87"/>
      <w:bookmarkEnd w:id="88"/>
    </w:p>
    <w:p w14:paraId="3B4A1EA4">
      <w:pPr>
        <w:rPr>
          <w:szCs w:val="21"/>
        </w:rPr>
      </w:pPr>
      <w:r>
        <w:rPr>
          <w:szCs w:val="21"/>
        </w:rPr>
        <w:t xml:space="preserve">[1] </w:t>
      </w:r>
      <w:r>
        <w:rPr>
          <w:rFonts w:hint="eastAsia"/>
          <w:szCs w:val="21"/>
        </w:rPr>
        <w:t>Tsuge,Shin.Pyrolysis-GC/MS Data Book of Synthetic Polyers: Pyrograms, Thermograms and MS of Pyrolyzates, Elsevier B.V.</w:t>
      </w:r>
    </w:p>
    <w:p w14:paraId="10A77ECF">
      <w:pPr>
        <w:pStyle w:val="6"/>
        <w:tabs>
          <w:tab w:val="left" w:pos="709"/>
        </w:tabs>
        <w:ind w:firstLine="0" w:firstLineChars="0"/>
        <w:rPr>
          <w:rFonts w:ascii="Times New Roman"/>
        </w:rPr>
      </w:pPr>
    </w:p>
    <w:sectPr>
      <w:headerReference r:id="rId14" w:type="default"/>
      <w:footerReference r:id="rId15" w:type="default"/>
      <w:pgSz w:w="11906" w:h="16838"/>
      <w:pgMar w:top="1440" w:right="1133"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FZSSK--GBK1-0">
    <w:altName w:val="Times New Roman"/>
    <w:panose1 w:val="00000000000000000000"/>
    <w:charset w:val="00"/>
    <w:family w:val="roman"/>
    <w:pitch w:val="default"/>
    <w:sig w:usb0="00000000" w:usb1="00000000" w:usb2="00000000" w:usb3="00000000" w:csb0="00000000" w:csb1="00000000"/>
  </w:font>
  <w:font w:name="E-BZ">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93349">
    <w:pPr>
      <w:pStyle w:val="25"/>
      <w:ind w:firstLine="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9BC4CE">
                          <w:pPr>
                            <w:pStyle w:val="25"/>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F9BC4CE">
                    <w:pPr>
                      <w:pStyle w:val="25"/>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652BC">
    <w:pPr>
      <w:pStyle w:val="25"/>
      <w:ind w:firstLine="36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5956C8">
                          <w:pPr>
                            <w:pStyle w:val="25"/>
                            <w:ind w:firstLine="36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7E5956C8">
                    <w:pPr>
                      <w:pStyle w:val="25"/>
                      <w:ind w:firstLine="36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F57A3">
    <w:pPr>
      <w:pStyle w:val="2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D9EEA">
    <w:pPr>
      <w:pStyle w:val="25"/>
      <w:ind w:firstLine="9180" w:firstLineChars="5100"/>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7AA040">
                          <w:pPr>
                            <w:pStyle w:val="25"/>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17AA040">
                    <w:pPr>
                      <w:pStyle w:val="25"/>
                      <w:ind w:firstLine="36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Ⅰ</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EAFD">
    <w:pPr>
      <w:pStyle w:val="25"/>
      <w:ind w:firstLine="9180" w:firstLineChars="5100"/>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7FFBE0">
                          <w:pPr>
                            <w:pStyle w:val="25"/>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0F7FFBE0">
                    <w:pPr>
                      <w:pStyle w:val="25"/>
                      <w:ind w:firstLine="36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Ⅱ</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894C5">
    <w:pPr>
      <w:pStyle w:val="56"/>
      <w:ind w:right="558" w:firstLine="4410" w:firstLineChars="2450"/>
      <w:jc w:val="both"/>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251A9C">
                          <w:pPr>
                            <w:pStyle w:val="56"/>
                            <w:ind w:right="558" w:firstLine="4410" w:firstLineChars="2450"/>
                            <w:jc w:val="both"/>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0251A9C">
                    <w:pPr>
                      <w:pStyle w:val="56"/>
                      <w:ind w:right="558" w:firstLine="4410" w:firstLineChars="2450"/>
                      <w:jc w:val="both"/>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5D42E">
    <w:pPr>
      <w:pStyle w:val="2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6620C">
    <w:pPr>
      <w:pStyle w:val="2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801B2">
    <w:pPr>
      <w:pStyle w:val="2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EAB70">
    <w:pPr>
      <w:pStyle w:val="26"/>
      <w:pBdr>
        <w:bottom w:val="none" w:color="auto" w:sz="0" w:space="0"/>
      </w:pBdr>
      <w:jc w:val="right"/>
      <w:rPr>
        <w:sz w:val="21"/>
        <w:szCs w:val="21"/>
      </w:rPr>
    </w:pPr>
    <w:r>
      <w:rPr>
        <w:sz w:val="21"/>
        <w:szCs w:val="21"/>
      </w:rPr>
      <w:t>T/CBMF XXX—20XX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8BE99">
    <w:pPr>
      <w:pStyle w:val="55"/>
    </w:pPr>
    <w:r>
      <w:rPr>
        <w:rFonts w:hint="eastAsia"/>
      </w:rPr>
      <w:t>T</w:t>
    </w:r>
    <w:r>
      <w:t>/</w:t>
    </w:r>
    <w:r>
      <w:rPr>
        <w:rFonts w:hint="eastAsia"/>
      </w:rPr>
      <w:t>CBMF</w:t>
    </w:r>
    <w:r>
      <w:t>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E2C084"/>
    <w:multiLevelType w:val="multilevel"/>
    <w:tmpl w:val="9DE2C084"/>
    <w:lvl w:ilvl="0" w:tentative="0">
      <w:start w:val="1"/>
      <w:numFmt w:val="upperLetter"/>
      <w:suff w:val="space"/>
      <w:lvlText w:val="%1"/>
      <w:lvlJc w:val="left"/>
      <w:pPr>
        <w:ind w:left="425" w:hanging="425"/>
      </w:pPr>
      <w:rPr>
        <w:rFonts w:hint="eastAsia"/>
      </w:rPr>
    </w:lvl>
    <w:lvl w:ilvl="1" w:tentative="0">
      <w:start w:val="1"/>
      <w:numFmt w:val="decimal"/>
      <w:pStyle w:val="173"/>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A5E72686"/>
    <w:multiLevelType w:val="multilevel"/>
    <w:tmpl w:val="A5E72686"/>
    <w:lvl w:ilvl="0" w:tentative="0">
      <w:start w:val="1"/>
      <w:numFmt w:val="upperLetter"/>
      <w:pStyle w:val="175"/>
      <w:suff w:val="nothing"/>
      <w:lvlText w:val="附录%1"/>
      <w:lvlJc w:val="left"/>
      <w:pPr>
        <w:tabs>
          <w:tab w:val="left" w:pos="6945"/>
        </w:tabs>
        <w:ind w:left="6945" w:firstLine="0"/>
      </w:pPr>
      <w:rPr>
        <w:rFonts w:hint="default"/>
        <w:spacing w:val="100"/>
      </w:rPr>
    </w:lvl>
    <w:lvl w:ilvl="1" w:tentative="0">
      <w:start w:val="1"/>
      <w:numFmt w:val="decimal"/>
      <w:suff w:val="nothing"/>
      <w:lvlText w:val="%1.%2　"/>
      <w:lvlJc w:val="left"/>
      <w:pPr>
        <w:ind w:left="0" w:firstLine="0"/>
      </w:pPr>
      <w:rPr>
        <w:rFonts w:hint="default"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B858CF4D"/>
    <w:multiLevelType w:val="singleLevel"/>
    <w:tmpl w:val="B858CF4D"/>
    <w:lvl w:ilvl="0" w:tentative="0">
      <w:start w:val="1"/>
      <w:numFmt w:val="lowerLetter"/>
      <w:suff w:val="space"/>
      <w:lvlText w:val="%1)"/>
      <w:lvlJc w:val="left"/>
    </w:lvl>
  </w:abstractNum>
  <w:abstractNum w:abstractNumId="3">
    <w:nsid w:val="E1CBF543"/>
    <w:multiLevelType w:val="multilevel"/>
    <w:tmpl w:val="E1CBF543"/>
    <w:lvl w:ilvl="0" w:tentative="0">
      <w:start w:val="1"/>
      <w:numFmt w:val="upperLetter"/>
      <w:pStyle w:val="7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F74CC004"/>
    <w:multiLevelType w:val="singleLevel"/>
    <w:tmpl w:val="F74CC004"/>
    <w:lvl w:ilvl="0" w:tentative="0">
      <w:start w:val="1"/>
      <w:numFmt w:val="lowerLetter"/>
      <w:suff w:val="nothing"/>
      <w:lvlText w:val="%1）"/>
      <w:lvlJc w:val="left"/>
    </w:lvl>
  </w:abstractNum>
  <w:abstractNum w:abstractNumId="5">
    <w:nsid w:val="23600694"/>
    <w:multiLevelType w:val="multilevel"/>
    <w:tmpl w:val="23600694"/>
    <w:lvl w:ilvl="0" w:tentative="0">
      <w:start w:val="1"/>
      <w:numFmt w:val="decimal"/>
      <w:pStyle w:val="2"/>
      <w:lvlText w:val="%1"/>
      <w:lvlJc w:val="left"/>
      <w:pPr>
        <w:ind w:left="0" w:firstLine="0"/>
      </w:pPr>
      <w:rPr>
        <w:rFonts w:hint="eastAsia"/>
      </w:rPr>
    </w:lvl>
    <w:lvl w:ilvl="1" w:tentative="0">
      <w:start w:val="1"/>
      <w:numFmt w:val="decimal"/>
      <w:pStyle w:val="3"/>
      <w:lvlText w:val="%1.%2"/>
      <w:lvlJc w:val="left"/>
      <w:pPr>
        <w:ind w:left="0" w:firstLine="0"/>
      </w:pPr>
      <w:rPr>
        <w:rFonts w:hint="eastAsia"/>
      </w:rPr>
    </w:lvl>
    <w:lvl w:ilvl="2" w:tentative="0">
      <w:start w:val="1"/>
      <w:numFmt w:val="decimal"/>
      <w:pStyle w:val="4"/>
      <w:suff w:val="space"/>
      <w:lvlText w:val="%1.%2.%3"/>
      <w:lvlJc w:val="left"/>
      <w:pPr>
        <w:ind w:left="0" w:firstLine="0"/>
      </w:pPr>
      <w:rPr>
        <w:rFonts w:hint="default" w:ascii="Times New Roman" w:hAnsi="Times New Roman" w:cs="Times New Roman"/>
      </w:rPr>
    </w:lvl>
    <w:lvl w:ilvl="3" w:tentative="0">
      <w:start w:val="1"/>
      <w:numFmt w:val="decimal"/>
      <w:pStyle w:val="7"/>
      <w:suff w:val="space"/>
      <w:lvlText w:val="%1.%2.%3.%4"/>
      <w:lvlJc w:val="left"/>
      <w:pPr>
        <w:ind w:left="0" w:firstLine="0"/>
      </w:pPr>
      <w:rPr>
        <w:rFonts w:hint="default" w:ascii="Times New Roman" w:hAnsi="Times New Roman" w:cs="Times New Roman"/>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6">
    <w:nsid w:val="2C5917C3"/>
    <w:multiLevelType w:val="multilevel"/>
    <w:tmpl w:val="2C5917C3"/>
    <w:lvl w:ilvl="0" w:tentative="0">
      <w:start w:val="1"/>
      <w:numFmt w:val="none"/>
      <w:pStyle w:val="172"/>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E823892"/>
    <w:multiLevelType w:val="multilevel"/>
    <w:tmpl w:val="3E823892"/>
    <w:lvl w:ilvl="0" w:tentative="0">
      <w:start w:val="1"/>
      <w:numFmt w:val="upperLetter"/>
      <w:pStyle w:val="7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5065D579"/>
    <w:multiLevelType w:val="multilevel"/>
    <w:tmpl w:val="5065D579"/>
    <w:lvl w:ilvl="0" w:tentative="0">
      <w:start w:val="1"/>
      <w:numFmt w:val="upperLetter"/>
      <w:pStyle w:val="12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suff w:val="nothing"/>
      <w:lvlText w:val="%1"/>
      <w:lvlJc w:val="left"/>
      <w:rPr>
        <w:rFonts w:hint="default" w:ascii="Times New Roman" w:hAnsi="Times New Roman" w:cs="Times New Roman"/>
        <w:b/>
        <w:i w:val="0"/>
        <w:sz w:val="21"/>
      </w:rPr>
    </w:lvl>
    <w:lvl w:ilvl="1" w:tentative="0">
      <w:start w:val="1"/>
      <w:numFmt w:val="decimal"/>
      <w:suff w:val="nothing"/>
      <w:lvlText w:val="%1%2　"/>
      <w:lvlJc w:val="left"/>
      <w:rPr>
        <w:rFonts w:hint="eastAsia" w:ascii="黑体" w:hAnsi="Times New Roman" w:eastAsia="黑体" w:cs="Times New Roman"/>
        <w:b w:val="0"/>
        <w:i w:val="0"/>
        <w:sz w:val="21"/>
      </w:rPr>
    </w:lvl>
    <w:lvl w:ilvl="2" w:tentative="0">
      <w:start w:val="1"/>
      <w:numFmt w:val="decimal"/>
      <w:suff w:val="nothing"/>
      <w:lvlText w:val="%1%2.%3　"/>
      <w:lvlJc w:val="left"/>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num w:numId="1">
    <w:abstractNumId w:val="5"/>
  </w:num>
  <w:num w:numId="2">
    <w:abstractNumId w:val="7"/>
  </w:num>
  <w:num w:numId="3">
    <w:abstractNumId w:val="3"/>
  </w:num>
  <w:num w:numId="4">
    <w:abstractNumId w:val="8"/>
  </w:num>
  <w:num w:numId="5">
    <w:abstractNumId w:val="6"/>
  </w:num>
  <w:num w:numId="6">
    <w:abstractNumId w:val="0"/>
  </w:num>
  <w:num w:numId="7">
    <w:abstractNumId w:val="1"/>
  </w:num>
  <w:num w:numId="8">
    <w:abstractNumId w:val="9"/>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evenAndOddHeaders w:val="1"/>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UxYzFiNWIzZDYxYjhlY2MwMjVlODkwNzRiZTUzOGUifQ=="/>
  </w:docVars>
  <w:rsids>
    <w:rsidRoot w:val="004B4023"/>
    <w:rsid w:val="00000D90"/>
    <w:rsid w:val="00000F0E"/>
    <w:rsid w:val="00001CDF"/>
    <w:rsid w:val="000047A4"/>
    <w:rsid w:val="00006651"/>
    <w:rsid w:val="00007225"/>
    <w:rsid w:val="00007BB7"/>
    <w:rsid w:val="00010DFD"/>
    <w:rsid w:val="0001282C"/>
    <w:rsid w:val="0001478B"/>
    <w:rsid w:val="00016EE9"/>
    <w:rsid w:val="00017999"/>
    <w:rsid w:val="00022BE3"/>
    <w:rsid w:val="0003185C"/>
    <w:rsid w:val="00032BAF"/>
    <w:rsid w:val="00033732"/>
    <w:rsid w:val="00040D72"/>
    <w:rsid w:val="00041440"/>
    <w:rsid w:val="00041B79"/>
    <w:rsid w:val="00043E82"/>
    <w:rsid w:val="00044F9B"/>
    <w:rsid w:val="00051180"/>
    <w:rsid w:val="0005143F"/>
    <w:rsid w:val="00052057"/>
    <w:rsid w:val="00055D65"/>
    <w:rsid w:val="00055E24"/>
    <w:rsid w:val="000579CD"/>
    <w:rsid w:val="000608FE"/>
    <w:rsid w:val="000613A4"/>
    <w:rsid w:val="00064120"/>
    <w:rsid w:val="00065337"/>
    <w:rsid w:val="000653AD"/>
    <w:rsid w:val="00065A79"/>
    <w:rsid w:val="00065B72"/>
    <w:rsid w:val="00073761"/>
    <w:rsid w:val="000756DC"/>
    <w:rsid w:val="00076CC4"/>
    <w:rsid w:val="00081D10"/>
    <w:rsid w:val="00087B25"/>
    <w:rsid w:val="00091ABD"/>
    <w:rsid w:val="00092692"/>
    <w:rsid w:val="0009324C"/>
    <w:rsid w:val="00095B4B"/>
    <w:rsid w:val="00095FD2"/>
    <w:rsid w:val="000A1EA3"/>
    <w:rsid w:val="000A52F0"/>
    <w:rsid w:val="000A6D34"/>
    <w:rsid w:val="000A7136"/>
    <w:rsid w:val="000B033A"/>
    <w:rsid w:val="000B4B8A"/>
    <w:rsid w:val="000B5A59"/>
    <w:rsid w:val="000B7CEE"/>
    <w:rsid w:val="000C0DB0"/>
    <w:rsid w:val="000C2A05"/>
    <w:rsid w:val="000C2FF4"/>
    <w:rsid w:val="000C3C05"/>
    <w:rsid w:val="000C4B4C"/>
    <w:rsid w:val="000C4BBF"/>
    <w:rsid w:val="000D1DF9"/>
    <w:rsid w:val="000D20E9"/>
    <w:rsid w:val="000D2760"/>
    <w:rsid w:val="000E3D5D"/>
    <w:rsid w:val="000E4C75"/>
    <w:rsid w:val="000E75AB"/>
    <w:rsid w:val="000F0A01"/>
    <w:rsid w:val="000F0B72"/>
    <w:rsid w:val="000F65BC"/>
    <w:rsid w:val="00102868"/>
    <w:rsid w:val="00110693"/>
    <w:rsid w:val="00115F6E"/>
    <w:rsid w:val="001162D5"/>
    <w:rsid w:val="00116E8F"/>
    <w:rsid w:val="00120A01"/>
    <w:rsid w:val="00122685"/>
    <w:rsid w:val="00126A8F"/>
    <w:rsid w:val="001273AF"/>
    <w:rsid w:val="00132EA5"/>
    <w:rsid w:val="00136D6A"/>
    <w:rsid w:val="001405A3"/>
    <w:rsid w:val="0014083F"/>
    <w:rsid w:val="001414BC"/>
    <w:rsid w:val="00141B10"/>
    <w:rsid w:val="00142CD6"/>
    <w:rsid w:val="001442BA"/>
    <w:rsid w:val="001464AB"/>
    <w:rsid w:val="0014776E"/>
    <w:rsid w:val="00151564"/>
    <w:rsid w:val="00151DDD"/>
    <w:rsid w:val="0015566F"/>
    <w:rsid w:val="001644C8"/>
    <w:rsid w:val="001650AB"/>
    <w:rsid w:val="00165A2A"/>
    <w:rsid w:val="0017040F"/>
    <w:rsid w:val="001725D9"/>
    <w:rsid w:val="0017512E"/>
    <w:rsid w:val="00175FAE"/>
    <w:rsid w:val="001767FB"/>
    <w:rsid w:val="00180FA5"/>
    <w:rsid w:val="00181BA2"/>
    <w:rsid w:val="001831F3"/>
    <w:rsid w:val="00185015"/>
    <w:rsid w:val="0018517E"/>
    <w:rsid w:val="00192B33"/>
    <w:rsid w:val="00195BF7"/>
    <w:rsid w:val="00196F8F"/>
    <w:rsid w:val="001A54F1"/>
    <w:rsid w:val="001A596F"/>
    <w:rsid w:val="001B09C4"/>
    <w:rsid w:val="001B139B"/>
    <w:rsid w:val="001B1C1E"/>
    <w:rsid w:val="001B4FE8"/>
    <w:rsid w:val="001C0FE8"/>
    <w:rsid w:val="001C1F25"/>
    <w:rsid w:val="001C505B"/>
    <w:rsid w:val="001C7CA2"/>
    <w:rsid w:val="001D110B"/>
    <w:rsid w:val="001D3609"/>
    <w:rsid w:val="001D4BD8"/>
    <w:rsid w:val="001D5B10"/>
    <w:rsid w:val="001E4DDD"/>
    <w:rsid w:val="001E65CA"/>
    <w:rsid w:val="001E7222"/>
    <w:rsid w:val="001F0EBB"/>
    <w:rsid w:val="001F1D11"/>
    <w:rsid w:val="001F2157"/>
    <w:rsid w:val="001F263A"/>
    <w:rsid w:val="001F3C31"/>
    <w:rsid w:val="001F7038"/>
    <w:rsid w:val="002036E4"/>
    <w:rsid w:val="00204C9A"/>
    <w:rsid w:val="00207BC6"/>
    <w:rsid w:val="00207C7B"/>
    <w:rsid w:val="002114E1"/>
    <w:rsid w:val="002129FF"/>
    <w:rsid w:val="0021599D"/>
    <w:rsid w:val="00217C48"/>
    <w:rsid w:val="00217EB3"/>
    <w:rsid w:val="002243B1"/>
    <w:rsid w:val="00225388"/>
    <w:rsid w:val="0022692F"/>
    <w:rsid w:val="00240C0D"/>
    <w:rsid w:val="00244BB4"/>
    <w:rsid w:val="00245727"/>
    <w:rsid w:val="00246083"/>
    <w:rsid w:val="00250288"/>
    <w:rsid w:val="002508DB"/>
    <w:rsid w:val="00252329"/>
    <w:rsid w:val="0025332D"/>
    <w:rsid w:val="00254853"/>
    <w:rsid w:val="00255457"/>
    <w:rsid w:val="00260A91"/>
    <w:rsid w:val="00261EA1"/>
    <w:rsid w:val="00265F24"/>
    <w:rsid w:val="00267F7E"/>
    <w:rsid w:val="002708B6"/>
    <w:rsid w:val="00275512"/>
    <w:rsid w:val="002767C7"/>
    <w:rsid w:val="00277115"/>
    <w:rsid w:val="00277BFF"/>
    <w:rsid w:val="002802CC"/>
    <w:rsid w:val="002817EB"/>
    <w:rsid w:val="00281987"/>
    <w:rsid w:val="00281BEE"/>
    <w:rsid w:val="00284B3B"/>
    <w:rsid w:val="0028637C"/>
    <w:rsid w:val="0029646F"/>
    <w:rsid w:val="002A0164"/>
    <w:rsid w:val="002A0D9E"/>
    <w:rsid w:val="002A1A02"/>
    <w:rsid w:val="002A1AF3"/>
    <w:rsid w:val="002A2053"/>
    <w:rsid w:val="002A2524"/>
    <w:rsid w:val="002A53E4"/>
    <w:rsid w:val="002A6C93"/>
    <w:rsid w:val="002A7F4C"/>
    <w:rsid w:val="002B0FA5"/>
    <w:rsid w:val="002B642A"/>
    <w:rsid w:val="002C216A"/>
    <w:rsid w:val="002C3526"/>
    <w:rsid w:val="002C3CBD"/>
    <w:rsid w:val="002C6966"/>
    <w:rsid w:val="002C7405"/>
    <w:rsid w:val="002D0FC2"/>
    <w:rsid w:val="002D1EA7"/>
    <w:rsid w:val="002D2CE3"/>
    <w:rsid w:val="002D4D44"/>
    <w:rsid w:val="002D5125"/>
    <w:rsid w:val="002E1E40"/>
    <w:rsid w:val="002E39A2"/>
    <w:rsid w:val="002F110D"/>
    <w:rsid w:val="002F1FCB"/>
    <w:rsid w:val="002F236E"/>
    <w:rsid w:val="002F2650"/>
    <w:rsid w:val="002F3127"/>
    <w:rsid w:val="002F3C2C"/>
    <w:rsid w:val="002F4914"/>
    <w:rsid w:val="002F609C"/>
    <w:rsid w:val="00301C8B"/>
    <w:rsid w:val="00302F4A"/>
    <w:rsid w:val="0030368C"/>
    <w:rsid w:val="003040F7"/>
    <w:rsid w:val="00304612"/>
    <w:rsid w:val="00305AC0"/>
    <w:rsid w:val="003070FC"/>
    <w:rsid w:val="00311E1C"/>
    <w:rsid w:val="00312B72"/>
    <w:rsid w:val="0031454C"/>
    <w:rsid w:val="003155F8"/>
    <w:rsid w:val="00317E3A"/>
    <w:rsid w:val="00322218"/>
    <w:rsid w:val="00324238"/>
    <w:rsid w:val="00325D41"/>
    <w:rsid w:val="00326668"/>
    <w:rsid w:val="00330B01"/>
    <w:rsid w:val="00333DCF"/>
    <w:rsid w:val="00337BE7"/>
    <w:rsid w:val="003406AB"/>
    <w:rsid w:val="00342DF1"/>
    <w:rsid w:val="00342FB6"/>
    <w:rsid w:val="003433C6"/>
    <w:rsid w:val="003456DA"/>
    <w:rsid w:val="003457EB"/>
    <w:rsid w:val="00353C7E"/>
    <w:rsid w:val="0035473B"/>
    <w:rsid w:val="00363D50"/>
    <w:rsid w:val="003664AC"/>
    <w:rsid w:val="00370BA9"/>
    <w:rsid w:val="0037118D"/>
    <w:rsid w:val="003730E0"/>
    <w:rsid w:val="00374E66"/>
    <w:rsid w:val="0037633F"/>
    <w:rsid w:val="00380521"/>
    <w:rsid w:val="00380BFE"/>
    <w:rsid w:val="003826B1"/>
    <w:rsid w:val="00382F10"/>
    <w:rsid w:val="0038486B"/>
    <w:rsid w:val="0039138A"/>
    <w:rsid w:val="003914C2"/>
    <w:rsid w:val="00393E39"/>
    <w:rsid w:val="003956FF"/>
    <w:rsid w:val="00396B0C"/>
    <w:rsid w:val="00397291"/>
    <w:rsid w:val="003A0A63"/>
    <w:rsid w:val="003A0F21"/>
    <w:rsid w:val="003B38EE"/>
    <w:rsid w:val="003B46BB"/>
    <w:rsid w:val="003B5402"/>
    <w:rsid w:val="003B6DDE"/>
    <w:rsid w:val="003B6FEF"/>
    <w:rsid w:val="003C3E92"/>
    <w:rsid w:val="003C5A48"/>
    <w:rsid w:val="003C6B16"/>
    <w:rsid w:val="003D3573"/>
    <w:rsid w:val="003D3ECD"/>
    <w:rsid w:val="003D4130"/>
    <w:rsid w:val="003E24C1"/>
    <w:rsid w:val="003E3A3E"/>
    <w:rsid w:val="003E5946"/>
    <w:rsid w:val="003E69F7"/>
    <w:rsid w:val="003E6A3C"/>
    <w:rsid w:val="003E7C85"/>
    <w:rsid w:val="003F035E"/>
    <w:rsid w:val="003F0ECA"/>
    <w:rsid w:val="003F4548"/>
    <w:rsid w:val="00404178"/>
    <w:rsid w:val="00405E4A"/>
    <w:rsid w:val="00406EAD"/>
    <w:rsid w:val="0041068D"/>
    <w:rsid w:val="004133D9"/>
    <w:rsid w:val="004202B1"/>
    <w:rsid w:val="00420A7E"/>
    <w:rsid w:val="0042586E"/>
    <w:rsid w:val="004275C9"/>
    <w:rsid w:val="00427A1A"/>
    <w:rsid w:val="0043012C"/>
    <w:rsid w:val="004304EA"/>
    <w:rsid w:val="004342CA"/>
    <w:rsid w:val="0043770D"/>
    <w:rsid w:val="00445C7A"/>
    <w:rsid w:val="00446255"/>
    <w:rsid w:val="004467D7"/>
    <w:rsid w:val="0044753A"/>
    <w:rsid w:val="0045040C"/>
    <w:rsid w:val="00452E45"/>
    <w:rsid w:val="00457D14"/>
    <w:rsid w:val="0046078D"/>
    <w:rsid w:val="00460A0F"/>
    <w:rsid w:val="004623CC"/>
    <w:rsid w:val="00464B47"/>
    <w:rsid w:val="00464E54"/>
    <w:rsid w:val="00467E51"/>
    <w:rsid w:val="004709BF"/>
    <w:rsid w:val="00472F8B"/>
    <w:rsid w:val="00474960"/>
    <w:rsid w:val="0047567C"/>
    <w:rsid w:val="00476237"/>
    <w:rsid w:val="00477FF3"/>
    <w:rsid w:val="00480B31"/>
    <w:rsid w:val="00480C5D"/>
    <w:rsid w:val="00491BFD"/>
    <w:rsid w:val="00495638"/>
    <w:rsid w:val="004A0214"/>
    <w:rsid w:val="004A6F6D"/>
    <w:rsid w:val="004B29A6"/>
    <w:rsid w:val="004B4023"/>
    <w:rsid w:val="004B6D28"/>
    <w:rsid w:val="004B736F"/>
    <w:rsid w:val="004C0544"/>
    <w:rsid w:val="004C5704"/>
    <w:rsid w:val="004C66B0"/>
    <w:rsid w:val="004C68A6"/>
    <w:rsid w:val="004C6D1E"/>
    <w:rsid w:val="004D0FE6"/>
    <w:rsid w:val="004D2B02"/>
    <w:rsid w:val="004D3DCE"/>
    <w:rsid w:val="004D7F07"/>
    <w:rsid w:val="004E2738"/>
    <w:rsid w:val="004E2C30"/>
    <w:rsid w:val="004E2F09"/>
    <w:rsid w:val="004E5CF9"/>
    <w:rsid w:val="004E7604"/>
    <w:rsid w:val="004F06A2"/>
    <w:rsid w:val="004F472E"/>
    <w:rsid w:val="004F7E00"/>
    <w:rsid w:val="00501071"/>
    <w:rsid w:val="00506A4C"/>
    <w:rsid w:val="005074B8"/>
    <w:rsid w:val="005076BF"/>
    <w:rsid w:val="005131F1"/>
    <w:rsid w:val="00513C06"/>
    <w:rsid w:val="00514267"/>
    <w:rsid w:val="005147AF"/>
    <w:rsid w:val="00516713"/>
    <w:rsid w:val="0052089C"/>
    <w:rsid w:val="00522ABF"/>
    <w:rsid w:val="005247A4"/>
    <w:rsid w:val="00527199"/>
    <w:rsid w:val="005276E5"/>
    <w:rsid w:val="00530A9F"/>
    <w:rsid w:val="00530AD4"/>
    <w:rsid w:val="00531BA1"/>
    <w:rsid w:val="00537604"/>
    <w:rsid w:val="00553361"/>
    <w:rsid w:val="00555215"/>
    <w:rsid w:val="005567A9"/>
    <w:rsid w:val="00560018"/>
    <w:rsid w:val="00560161"/>
    <w:rsid w:val="005625B4"/>
    <w:rsid w:val="005714B9"/>
    <w:rsid w:val="00571D8E"/>
    <w:rsid w:val="00572176"/>
    <w:rsid w:val="005758B9"/>
    <w:rsid w:val="00575F24"/>
    <w:rsid w:val="00576C98"/>
    <w:rsid w:val="00581938"/>
    <w:rsid w:val="00582966"/>
    <w:rsid w:val="00584149"/>
    <w:rsid w:val="005907F9"/>
    <w:rsid w:val="0059718D"/>
    <w:rsid w:val="005A3358"/>
    <w:rsid w:val="005A768F"/>
    <w:rsid w:val="005B0399"/>
    <w:rsid w:val="005B040F"/>
    <w:rsid w:val="005B6873"/>
    <w:rsid w:val="005B7E85"/>
    <w:rsid w:val="005C0261"/>
    <w:rsid w:val="005C39EF"/>
    <w:rsid w:val="005C47C5"/>
    <w:rsid w:val="005D2EDA"/>
    <w:rsid w:val="005D365B"/>
    <w:rsid w:val="005E1AD8"/>
    <w:rsid w:val="005E24C7"/>
    <w:rsid w:val="005E4E81"/>
    <w:rsid w:val="005F1A98"/>
    <w:rsid w:val="005F2FD4"/>
    <w:rsid w:val="005F4B8E"/>
    <w:rsid w:val="006008DA"/>
    <w:rsid w:val="00601856"/>
    <w:rsid w:val="006030DD"/>
    <w:rsid w:val="0060444C"/>
    <w:rsid w:val="00611AF8"/>
    <w:rsid w:val="006171DC"/>
    <w:rsid w:val="00621D9D"/>
    <w:rsid w:val="00623B87"/>
    <w:rsid w:val="00623D96"/>
    <w:rsid w:val="00623F26"/>
    <w:rsid w:val="006256D4"/>
    <w:rsid w:val="0063565A"/>
    <w:rsid w:val="00635702"/>
    <w:rsid w:val="00637325"/>
    <w:rsid w:val="00645190"/>
    <w:rsid w:val="006470D7"/>
    <w:rsid w:val="006507C2"/>
    <w:rsid w:val="00654793"/>
    <w:rsid w:val="00654B6A"/>
    <w:rsid w:val="00656352"/>
    <w:rsid w:val="00656DF9"/>
    <w:rsid w:val="00657164"/>
    <w:rsid w:val="00661BDE"/>
    <w:rsid w:val="00661E55"/>
    <w:rsid w:val="00663C9C"/>
    <w:rsid w:val="006648E2"/>
    <w:rsid w:val="006671B9"/>
    <w:rsid w:val="006679F7"/>
    <w:rsid w:val="00670C88"/>
    <w:rsid w:val="00670D93"/>
    <w:rsid w:val="00670FAD"/>
    <w:rsid w:val="00671253"/>
    <w:rsid w:val="0067256A"/>
    <w:rsid w:val="00676FE9"/>
    <w:rsid w:val="006817FE"/>
    <w:rsid w:val="00682793"/>
    <w:rsid w:val="00684905"/>
    <w:rsid w:val="0068595B"/>
    <w:rsid w:val="00686EB2"/>
    <w:rsid w:val="0069037D"/>
    <w:rsid w:val="00692E8F"/>
    <w:rsid w:val="00693306"/>
    <w:rsid w:val="00695340"/>
    <w:rsid w:val="00696339"/>
    <w:rsid w:val="00696934"/>
    <w:rsid w:val="006971B0"/>
    <w:rsid w:val="00697C8B"/>
    <w:rsid w:val="00697DCC"/>
    <w:rsid w:val="00697EB9"/>
    <w:rsid w:val="006A4551"/>
    <w:rsid w:val="006A4831"/>
    <w:rsid w:val="006A4FCC"/>
    <w:rsid w:val="006B2046"/>
    <w:rsid w:val="006B231F"/>
    <w:rsid w:val="006B2D71"/>
    <w:rsid w:val="006C0AA3"/>
    <w:rsid w:val="006C4F29"/>
    <w:rsid w:val="006C6243"/>
    <w:rsid w:val="006D2E2E"/>
    <w:rsid w:val="006D3F1B"/>
    <w:rsid w:val="006E0A3A"/>
    <w:rsid w:val="006E2C6A"/>
    <w:rsid w:val="006E4B03"/>
    <w:rsid w:val="006E6C23"/>
    <w:rsid w:val="006F2ED2"/>
    <w:rsid w:val="006F4E18"/>
    <w:rsid w:val="006F572A"/>
    <w:rsid w:val="006F7E8C"/>
    <w:rsid w:val="00705D4C"/>
    <w:rsid w:val="00706928"/>
    <w:rsid w:val="00707C10"/>
    <w:rsid w:val="00710BF3"/>
    <w:rsid w:val="0071601E"/>
    <w:rsid w:val="00717007"/>
    <w:rsid w:val="00721290"/>
    <w:rsid w:val="00722C5C"/>
    <w:rsid w:val="00724DDD"/>
    <w:rsid w:val="0072584C"/>
    <w:rsid w:val="00726952"/>
    <w:rsid w:val="007272E2"/>
    <w:rsid w:val="00727D73"/>
    <w:rsid w:val="00731279"/>
    <w:rsid w:val="00733D9D"/>
    <w:rsid w:val="007355C5"/>
    <w:rsid w:val="00741392"/>
    <w:rsid w:val="00742CC8"/>
    <w:rsid w:val="00743322"/>
    <w:rsid w:val="00743A5C"/>
    <w:rsid w:val="00750CB0"/>
    <w:rsid w:val="00753B5D"/>
    <w:rsid w:val="007605AD"/>
    <w:rsid w:val="00760D5E"/>
    <w:rsid w:val="0077095C"/>
    <w:rsid w:val="00770B75"/>
    <w:rsid w:val="007734C9"/>
    <w:rsid w:val="00775F3C"/>
    <w:rsid w:val="00777322"/>
    <w:rsid w:val="00781161"/>
    <w:rsid w:val="007812B2"/>
    <w:rsid w:val="00781C4F"/>
    <w:rsid w:val="00790873"/>
    <w:rsid w:val="00790C0C"/>
    <w:rsid w:val="00793CDF"/>
    <w:rsid w:val="00794210"/>
    <w:rsid w:val="00794B9B"/>
    <w:rsid w:val="0079562D"/>
    <w:rsid w:val="0079588A"/>
    <w:rsid w:val="00795C23"/>
    <w:rsid w:val="0079694F"/>
    <w:rsid w:val="0079700F"/>
    <w:rsid w:val="00797A8D"/>
    <w:rsid w:val="007B04C8"/>
    <w:rsid w:val="007B143B"/>
    <w:rsid w:val="007B270F"/>
    <w:rsid w:val="007C0C2A"/>
    <w:rsid w:val="007C170F"/>
    <w:rsid w:val="007C68A9"/>
    <w:rsid w:val="007C774B"/>
    <w:rsid w:val="007C7F4A"/>
    <w:rsid w:val="007D072E"/>
    <w:rsid w:val="007D432C"/>
    <w:rsid w:val="007D63FF"/>
    <w:rsid w:val="007D7378"/>
    <w:rsid w:val="007E62B5"/>
    <w:rsid w:val="007F0BC9"/>
    <w:rsid w:val="007F30EB"/>
    <w:rsid w:val="007F640F"/>
    <w:rsid w:val="00800313"/>
    <w:rsid w:val="00800C98"/>
    <w:rsid w:val="00801DAE"/>
    <w:rsid w:val="00804D96"/>
    <w:rsid w:val="00806921"/>
    <w:rsid w:val="008153C0"/>
    <w:rsid w:val="00815DE1"/>
    <w:rsid w:val="008200DD"/>
    <w:rsid w:val="00827B06"/>
    <w:rsid w:val="00827DAD"/>
    <w:rsid w:val="00830BDF"/>
    <w:rsid w:val="00840D63"/>
    <w:rsid w:val="00842B10"/>
    <w:rsid w:val="00843B19"/>
    <w:rsid w:val="008555A2"/>
    <w:rsid w:val="008566AB"/>
    <w:rsid w:val="008627AE"/>
    <w:rsid w:val="00865929"/>
    <w:rsid w:val="008659D5"/>
    <w:rsid w:val="00874749"/>
    <w:rsid w:val="00874D7A"/>
    <w:rsid w:val="00876C0C"/>
    <w:rsid w:val="00886249"/>
    <w:rsid w:val="00892113"/>
    <w:rsid w:val="00893908"/>
    <w:rsid w:val="00897E8B"/>
    <w:rsid w:val="008A3138"/>
    <w:rsid w:val="008A4F96"/>
    <w:rsid w:val="008B25A5"/>
    <w:rsid w:val="008B37C7"/>
    <w:rsid w:val="008B71D4"/>
    <w:rsid w:val="008B769F"/>
    <w:rsid w:val="008C0782"/>
    <w:rsid w:val="008C3B7D"/>
    <w:rsid w:val="008C5012"/>
    <w:rsid w:val="008D2F36"/>
    <w:rsid w:val="008D5B10"/>
    <w:rsid w:val="008D6DBE"/>
    <w:rsid w:val="008E0C1D"/>
    <w:rsid w:val="008E242C"/>
    <w:rsid w:val="008E4F55"/>
    <w:rsid w:val="008E5986"/>
    <w:rsid w:val="008E71D3"/>
    <w:rsid w:val="008F092E"/>
    <w:rsid w:val="008F16A4"/>
    <w:rsid w:val="008F1C6D"/>
    <w:rsid w:val="008F35A3"/>
    <w:rsid w:val="008F3C5A"/>
    <w:rsid w:val="0090125C"/>
    <w:rsid w:val="00905015"/>
    <w:rsid w:val="009054F2"/>
    <w:rsid w:val="00905981"/>
    <w:rsid w:val="00910716"/>
    <w:rsid w:val="00910D8C"/>
    <w:rsid w:val="0091172B"/>
    <w:rsid w:val="00913ED5"/>
    <w:rsid w:val="00917B7A"/>
    <w:rsid w:val="00920B7A"/>
    <w:rsid w:val="00923C8A"/>
    <w:rsid w:val="00923EDD"/>
    <w:rsid w:val="009246FE"/>
    <w:rsid w:val="00924763"/>
    <w:rsid w:val="00930510"/>
    <w:rsid w:val="00930BE2"/>
    <w:rsid w:val="00931514"/>
    <w:rsid w:val="0093254C"/>
    <w:rsid w:val="00932F51"/>
    <w:rsid w:val="00944B3B"/>
    <w:rsid w:val="0095014D"/>
    <w:rsid w:val="00951486"/>
    <w:rsid w:val="00952C29"/>
    <w:rsid w:val="00955515"/>
    <w:rsid w:val="00956561"/>
    <w:rsid w:val="0095662D"/>
    <w:rsid w:val="00956649"/>
    <w:rsid w:val="009602CD"/>
    <w:rsid w:val="00963862"/>
    <w:rsid w:val="00965F83"/>
    <w:rsid w:val="009668A3"/>
    <w:rsid w:val="00967222"/>
    <w:rsid w:val="009703C3"/>
    <w:rsid w:val="009721C8"/>
    <w:rsid w:val="009738E3"/>
    <w:rsid w:val="009744AC"/>
    <w:rsid w:val="0097485E"/>
    <w:rsid w:val="009766F0"/>
    <w:rsid w:val="0097690A"/>
    <w:rsid w:val="00981890"/>
    <w:rsid w:val="00984DDB"/>
    <w:rsid w:val="00986141"/>
    <w:rsid w:val="009878C1"/>
    <w:rsid w:val="00991EA3"/>
    <w:rsid w:val="00997D7A"/>
    <w:rsid w:val="009B1921"/>
    <w:rsid w:val="009B22A5"/>
    <w:rsid w:val="009B3BD9"/>
    <w:rsid w:val="009B5832"/>
    <w:rsid w:val="009B5F9C"/>
    <w:rsid w:val="009B78BE"/>
    <w:rsid w:val="009C0F7D"/>
    <w:rsid w:val="009C2A8F"/>
    <w:rsid w:val="009C44DF"/>
    <w:rsid w:val="009D7513"/>
    <w:rsid w:val="009E0BED"/>
    <w:rsid w:val="009E1777"/>
    <w:rsid w:val="009E31A9"/>
    <w:rsid w:val="009E4A09"/>
    <w:rsid w:val="009E7DF6"/>
    <w:rsid w:val="009F262C"/>
    <w:rsid w:val="009F7D29"/>
    <w:rsid w:val="00A018B0"/>
    <w:rsid w:val="00A03530"/>
    <w:rsid w:val="00A045B8"/>
    <w:rsid w:val="00A07160"/>
    <w:rsid w:val="00A07CE6"/>
    <w:rsid w:val="00A10E3B"/>
    <w:rsid w:val="00A1169E"/>
    <w:rsid w:val="00A11C1F"/>
    <w:rsid w:val="00A156C3"/>
    <w:rsid w:val="00A15AC4"/>
    <w:rsid w:val="00A16D01"/>
    <w:rsid w:val="00A216B7"/>
    <w:rsid w:val="00A22FAD"/>
    <w:rsid w:val="00A24542"/>
    <w:rsid w:val="00A2760A"/>
    <w:rsid w:val="00A30916"/>
    <w:rsid w:val="00A322BA"/>
    <w:rsid w:val="00A33320"/>
    <w:rsid w:val="00A33A60"/>
    <w:rsid w:val="00A35462"/>
    <w:rsid w:val="00A356E6"/>
    <w:rsid w:val="00A407F3"/>
    <w:rsid w:val="00A430A8"/>
    <w:rsid w:val="00A50705"/>
    <w:rsid w:val="00A52EAD"/>
    <w:rsid w:val="00A553E9"/>
    <w:rsid w:val="00A56F33"/>
    <w:rsid w:val="00A60EEA"/>
    <w:rsid w:val="00A62A88"/>
    <w:rsid w:val="00A634DA"/>
    <w:rsid w:val="00A64FC6"/>
    <w:rsid w:val="00A64FCE"/>
    <w:rsid w:val="00A65612"/>
    <w:rsid w:val="00A720DC"/>
    <w:rsid w:val="00A73374"/>
    <w:rsid w:val="00A815F3"/>
    <w:rsid w:val="00A81630"/>
    <w:rsid w:val="00A81E71"/>
    <w:rsid w:val="00A83274"/>
    <w:rsid w:val="00A84ECA"/>
    <w:rsid w:val="00A87BE6"/>
    <w:rsid w:val="00A918AC"/>
    <w:rsid w:val="00A9266C"/>
    <w:rsid w:val="00A94D65"/>
    <w:rsid w:val="00A950A5"/>
    <w:rsid w:val="00A952E2"/>
    <w:rsid w:val="00A97828"/>
    <w:rsid w:val="00AA3241"/>
    <w:rsid w:val="00AA3C17"/>
    <w:rsid w:val="00AA54F6"/>
    <w:rsid w:val="00AA7784"/>
    <w:rsid w:val="00AB0D21"/>
    <w:rsid w:val="00AB2664"/>
    <w:rsid w:val="00AB3C80"/>
    <w:rsid w:val="00AB40B4"/>
    <w:rsid w:val="00AB51CC"/>
    <w:rsid w:val="00AB5BC4"/>
    <w:rsid w:val="00AB6EAE"/>
    <w:rsid w:val="00AB785A"/>
    <w:rsid w:val="00AC6B36"/>
    <w:rsid w:val="00AC71E5"/>
    <w:rsid w:val="00AD1AB6"/>
    <w:rsid w:val="00AD4808"/>
    <w:rsid w:val="00AD7519"/>
    <w:rsid w:val="00AE10F6"/>
    <w:rsid w:val="00AE1E19"/>
    <w:rsid w:val="00AE5A10"/>
    <w:rsid w:val="00AF0D48"/>
    <w:rsid w:val="00AF118C"/>
    <w:rsid w:val="00AF1F1D"/>
    <w:rsid w:val="00AF24CD"/>
    <w:rsid w:val="00AF3FE5"/>
    <w:rsid w:val="00B013F7"/>
    <w:rsid w:val="00B01F87"/>
    <w:rsid w:val="00B0367D"/>
    <w:rsid w:val="00B03A77"/>
    <w:rsid w:val="00B16D97"/>
    <w:rsid w:val="00B16EDF"/>
    <w:rsid w:val="00B17E08"/>
    <w:rsid w:val="00B23298"/>
    <w:rsid w:val="00B23EA0"/>
    <w:rsid w:val="00B24D65"/>
    <w:rsid w:val="00B26A8A"/>
    <w:rsid w:val="00B27C2E"/>
    <w:rsid w:val="00B321B0"/>
    <w:rsid w:val="00B346A1"/>
    <w:rsid w:val="00B34D0B"/>
    <w:rsid w:val="00B42ECB"/>
    <w:rsid w:val="00B506B9"/>
    <w:rsid w:val="00B518D7"/>
    <w:rsid w:val="00B556F0"/>
    <w:rsid w:val="00B57B13"/>
    <w:rsid w:val="00B61256"/>
    <w:rsid w:val="00B61733"/>
    <w:rsid w:val="00B61D36"/>
    <w:rsid w:val="00B6417E"/>
    <w:rsid w:val="00B64CAB"/>
    <w:rsid w:val="00B66C73"/>
    <w:rsid w:val="00B67EE7"/>
    <w:rsid w:val="00B70857"/>
    <w:rsid w:val="00B7332B"/>
    <w:rsid w:val="00B73A8A"/>
    <w:rsid w:val="00B765F9"/>
    <w:rsid w:val="00B86BA1"/>
    <w:rsid w:val="00B87D31"/>
    <w:rsid w:val="00B92EBF"/>
    <w:rsid w:val="00B9674E"/>
    <w:rsid w:val="00B976CD"/>
    <w:rsid w:val="00BA0ECF"/>
    <w:rsid w:val="00BA39B6"/>
    <w:rsid w:val="00BA55B4"/>
    <w:rsid w:val="00BA69F9"/>
    <w:rsid w:val="00BB0D8D"/>
    <w:rsid w:val="00BB27F2"/>
    <w:rsid w:val="00BB2B20"/>
    <w:rsid w:val="00BB3218"/>
    <w:rsid w:val="00BB49CE"/>
    <w:rsid w:val="00BB5048"/>
    <w:rsid w:val="00BB5EF9"/>
    <w:rsid w:val="00BC0310"/>
    <w:rsid w:val="00BC097A"/>
    <w:rsid w:val="00BC2633"/>
    <w:rsid w:val="00BC3569"/>
    <w:rsid w:val="00BC50A3"/>
    <w:rsid w:val="00BC661F"/>
    <w:rsid w:val="00BD086C"/>
    <w:rsid w:val="00BD1BD7"/>
    <w:rsid w:val="00BD2736"/>
    <w:rsid w:val="00BD716C"/>
    <w:rsid w:val="00BE04BB"/>
    <w:rsid w:val="00BE07B5"/>
    <w:rsid w:val="00BE342F"/>
    <w:rsid w:val="00BE466D"/>
    <w:rsid w:val="00BE57FF"/>
    <w:rsid w:val="00BF2B32"/>
    <w:rsid w:val="00BF359C"/>
    <w:rsid w:val="00BF3AFA"/>
    <w:rsid w:val="00BF3DAC"/>
    <w:rsid w:val="00BF4789"/>
    <w:rsid w:val="00BF4AA2"/>
    <w:rsid w:val="00BF6DF6"/>
    <w:rsid w:val="00C00B03"/>
    <w:rsid w:val="00C03FCE"/>
    <w:rsid w:val="00C04AB8"/>
    <w:rsid w:val="00C11DD0"/>
    <w:rsid w:val="00C12DE3"/>
    <w:rsid w:val="00C165BC"/>
    <w:rsid w:val="00C16BA5"/>
    <w:rsid w:val="00C20A7A"/>
    <w:rsid w:val="00C20D4E"/>
    <w:rsid w:val="00C2314A"/>
    <w:rsid w:val="00C24FD1"/>
    <w:rsid w:val="00C2613D"/>
    <w:rsid w:val="00C31A89"/>
    <w:rsid w:val="00C32B55"/>
    <w:rsid w:val="00C34430"/>
    <w:rsid w:val="00C46B57"/>
    <w:rsid w:val="00C46BDB"/>
    <w:rsid w:val="00C4760B"/>
    <w:rsid w:val="00C5226B"/>
    <w:rsid w:val="00C5467B"/>
    <w:rsid w:val="00C551B8"/>
    <w:rsid w:val="00C55FF7"/>
    <w:rsid w:val="00C56344"/>
    <w:rsid w:val="00C57A99"/>
    <w:rsid w:val="00C64C75"/>
    <w:rsid w:val="00C677D1"/>
    <w:rsid w:val="00C700A9"/>
    <w:rsid w:val="00C70424"/>
    <w:rsid w:val="00C7235F"/>
    <w:rsid w:val="00C73727"/>
    <w:rsid w:val="00C76335"/>
    <w:rsid w:val="00C816A7"/>
    <w:rsid w:val="00C82877"/>
    <w:rsid w:val="00C8365C"/>
    <w:rsid w:val="00C83C60"/>
    <w:rsid w:val="00C879F1"/>
    <w:rsid w:val="00C935F1"/>
    <w:rsid w:val="00C943FC"/>
    <w:rsid w:val="00C9519A"/>
    <w:rsid w:val="00C97D3F"/>
    <w:rsid w:val="00CA2751"/>
    <w:rsid w:val="00CA2A98"/>
    <w:rsid w:val="00CA7D7D"/>
    <w:rsid w:val="00CA7F1D"/>
    <w:rsid w:val="00CB0A4F"/>
    <w:rsid w:val="00CB20CE"/>
    <w:rsid w:val="00CB39C1"/>
    <w:rsid w:val="00CB5144"/>
    <w:rsid w:val="00CC0D75"/>
    <w:rsid w:val="00CC1964"/>
    <w:rsid w:val="00CC457A"/>
    <w:rsid w:val="00CC4CE8"/>
    <w:rsid w:val="00CC79FC"/>
    <w:rsid w:val="00CC7EBC"/>
    <w:rsid w:val="00CD02DB"/>
    <w:rsid w:val="00CD052B"/>
    <w:rsid w:val="00CD281F"/>
    <w:rsid w:val="00CD42E0"/>
    <w:rsid w:val="00CE354C"/>
    <w:rsid w:val="00CF6A94"/>
    <w:rsid w:val="00D02CB2"/>
    <w:rsid w:val="00D0367A"/>
    <w:rsid w:val="00D054A8"/>
    <w:rsid w:val="00D06502"/>
    <w:rsid w:val="00D16C87"/>
    <w:rsid w:val="00D22054"/>
    <w:rsid w:val="00D22FC6"/>
    <w:rsid w:val="00D257CD"/>
    <w:rsid w:val="00D26136"/>
    <w:rsid w:val="00D26BAF"/>
    <w:rsid w:val="00D276F3"/>
    <w:rsid w:val="00D27E24"/>
    <w:rsid w:val="00D34C9F"/>
    <w:rsid w:val="00D40CB6"/>
    <w:rsid w:val="00D41C34"/>
    <w:rsid w:val="00D449A6"/>
    <w:rsid w:val="00D4561E"/>
    <w:rsid w:val="00D47DF8"/>
    <w:rsid w:val="00D523DC"/>
    <w:rsid w:val="00D53467"/>
    <w:rsid w:val="00D56B2C"/>
    <w:rsid w:val="00D57B0D"/>
    <w:rsid w:val="00D60EEE"/>
    <w:rsid w:val="00D61C60"/>
    <w:rsid w:val="00D640FB"/>
    <w:rsid w:val="00D64B11"/>
    <w:rsid w:val="00D65118"/>
    <w:rsid w:val="00D6611A"/>
    <w:rsid w:val="00D73D1A"/>
    <w:rsid w:val="00D73E32"/>
    <w:rsid w:val="00D778D9"/>
    <w:rsid w:val="00D77CB1"/>
    <w:rsid w:val="00D8014E"/>
    <w:rsid w:val="00D80FBA"/>
    <w:rsid w:val="00D840C0"/>
    <w:rsid w:val="00D85EDC"/>
    <w:rsid w:val="00D87419"/>
    <w:rsid w:val="00D90310"/>
    <w:rsid w:val="00D93516"/>
    <w:rsid w:val="00D937C9"/>
    <w:rsid w:val="00D94FA5"/>
    <w:rsid w:val="00D95659"/>
    <w:rsid w:val="00D95976"/>
    <w:rsid w:val="00D95CCB"/>
    <w:rsid w:val="00D97502"/>
    <w:rsid w:val="00DA12B4"/>
    <w:rsid w:val="00DA13EA"/>
    <w:rsid w:val="00DA28CC"/>
    <w:rsid w:val="00DA40AB"/>
    <w:rsid w:val="00DA6297"/>
    <w:rsid w:val="00DB4AD0"/>
    <w:rsid w:val="00DB5E79"/>
    <w:rsid w:val="00DB673E"/>
    <w:rsid w:val="00DB731F"/>
    <w:rsid w:val="00DB79A5"/>
    <w:rsid w:val="00DC1E52"/>
    <w:rsid w:val="00DC3DA8"/>
    <w:rsid w:val="00DC407F"/>
    <w:rsid w:val="00DC5895"/>
    <w:rsid w:val="00DC6E52"/>
    <w:rsid w:val="00DC7754"/>
    <w:rsid w:val="00DD25E4"/>
    <w:rsid w:val="00DE0C81"/>
    <w:rsid w:val="00DE2D9C"/>
    <w:rsid w:val="00DE3D8A"/>
    <w:rsid w:val="00DE69B1"/>
    <w:rsid w:val="00DE6EB3"/>
    <w:rsid w:val="00DE7636"/>
    <w:rsid w:val="00DE7A1E"/>
    <w:rsid w:val="00DF21B5"/>
    <w:rsid w:val="00DF43FF"/>
    <w:rsid w:val="00DF5818"/>
    <w:rsid w:val="00E02577"/>
    <w:rsid w:val="00E034EA"/>
    <w:rsid w:val="00E048EC"/>
    <w:rsid w:val="00E06847"/>
    <w:rsid w:val="00E1061D"/>
    <w:rsid w:val="00E12B0E"/>
    <w:rsid w:val="00E166F9"/>
    <w:rsid w:val="00E212F2"/>
    <w:rsid w:val="00E23051"/>
    <w:rsid w:val="00E24AD0"/>
    <w:rsid w:val="00E254AB"/>
    <w:rsid w:val="00E265F8"/>
    <w:rsid w:val="00E27233"/>
    <w:rsid w:val="00E300B3"/>
    <w:rsid w:val="00E30EDA"/>
    <w:rsid w:val="00E346EA"/>
    <w:rsid w:val="00E471AD"/>
    <w:rsid w:val="00E532D3"/>
    <w:rsid w:val="00E57127"/>
    <w:rsid w:val="00E6162D"/>
    <w:rsid w:val="00E65CE9"/>
    <w:rsid w:val="00E66C6B"/>
    <w:rsid w:val="00E717B6"/>
    <w:rsid w:val="00E751F9"/>
    <w:rsid w:val="00E82B64"/>
    <w:rsid w:val="00E86137"/>
    <w:rsid w:val="00E864E1"/>
    <w:rsid w:val="00E86FAE"/>
    <w:rsid w:val="00E874AF"/>
    <w:rsid w:val="00E87778"/>
    <w:rsid w:val="00E91CE5"/>
    <w:rsid w:val="00E934F1"/>
    <w:rsid w:val="00E94053"/>
    <w:rsid w:val="00EA0994"/>
    <w:rsid w:val="00EA18CD"/>
    <w:rsid w:val="00EA41B4"/>
    <w:rsid w:val="00EA49B7"/>
    <w:rsid w:val="00EB008D"/>
    <w:rsid w:val="00EB3345"/>
    <w:rsid w:val="00EB77F2"/>
    <w:rsid w:val="00EB7B85"/>
    <w:rsid w:val="00EC0D6C"/>
    <w:rsid w:val="00EC1778"/>
    <w:rsid w:val="00EC2D7C"/>
    <w:rsid w:val="00EC2EB8"/>
    <w:rsid w:val="00EC38C4"/>
    <w:rsid w:val="00EC3964"/>
    <w:rsid w:val="00ED1090"/>
    <w:rsid w:val="00ED3C9C"/>
    <w:rsid w:val="00ED7ED0"/>
    <w:rsid w:val="00EE4958"/>
    <w:rsid w:val="00EE5E83"/>
    <w:rsid w:val="00EE78BC"/>
    <w:rsid w:val="00EF2310"/>
    <w:rsid w:val="00EF4FCF"/>
    <w:rsid w:val="00EF593B"/>
    <w:rsid w:val="00EF67AC"/>
    <w:rsid w:val="00F01B2D"/>
    <w:rsid w:val="00F032C5"/>
    <w:rsid w:val="00F06BA8"/>
    <w:rsid w:val="00F06E01"/>
    <w:rsid w:val="00F06EDB"/>
    <w:rsid w:val="00F115C3"/>
    <w:rsid w:val="00F137DC"/>
    <w:rsid w:val="00F168F1"/>
    <w:rsid w:val="00F22481"/>
    <w:rsid w:val="00F26D6C"/>
    <w:rsid w:val="00F34D9F"/>
    <w:rsid w:val="00F420D9"/>
    <w:rsid w:val="00F443C3"/>
    <w:rsid w:val="00F46A14"/>
    <w:rsid w:val="00F47301"/>
    <w:rsid w:val="00F51033"/>
    <w:rsid w:val="00F52682"/>
    <w:rsid w:val="00F53CF3"/>
    <w:rsid w:val="00F54ECC"/>
    <w:rsid w:val="00F54F4F"/>
    <w:rsid w:val="00F575FD"/>
    <w:rsid w:val="00F576E2"/>
    <w:rsid w:val="00F57FF1"/>
    <w:rsid w:val="00F606B1"/>
    <w:rsid w:val="00F60EFE"/>
    <w:rsid w:val="00F61006"/>
    <w:rsid w:val="00F63A39"/>
    <w:rsid w:val="00F650E3"/>
    <w:rsid w:val="00F6544D"/>
    <w:rsid w:val="00F65BD0"/>
    <w:rsid w:val="00F71896"/>
    <w:rsid w:val="00F731A7"/>
    <w:rsid w:val="00F75E7B"/>
    <w:rsid w:val="00F75F46"/>
    <w:rsid w:val="00F76ED7"/>
    <w:rsid w:val="00F80509"/>
    <w:rsid w:val="00F8495F"/>
    <w:rsid w:val="00F86B5C"/>
    <w:rsid w:val="00F906A4"/>
    <w:rsid w:val="00F92F89"/>
    <w:rsid w:val="00F96B02"/>
    <w:rsid w:val="00FA109D"/>
    <w:rsid w:val="00FA248E"/>
    <w:rsid w:val="00FA47CD"/>
    <w:rsid w:val="00FA52DF"/>
    <w:rsid w:val="00FA6481"/>
    <w:rsid w:val="00FB2A7F"/>
    <w:rsid w:val="00FB6464"/>
    <w:rsid w:val="00FB6F88"/>
    <w:rsid w:val="00FD1C71"/>
    <w:rsid w:val="00FD1DD3"/>
    <w:rsid w:val="00FD25AB"/>
    <w:rsid w:val="00FD32B8"/>
    <w:rsid w:val="00FD4B76"/>
    <w:rsid w:val="00FE008D"/>
    <w:rsid w:val="00FE1400"/>
    <w:rsid w:val="00FE17B6"/>
    <w:rsid w:val="00FE1C02"/>
    <w:rsid w:val="00FE3B0B"/>
    <w:rsid w:val="00FE5314"/>
    <w:rsid w:val="00FE5849"/>
    <w:rsid w:val="00FE6CDD"/>
    <w:rsid w:val="00FE72AD"/>
    <w:rsid w:val="00FE75A0"/>
    <w:rsid w:val="01631940"/>
    <w:rsid w:val="02837965"/>
    <w:rsid w:val="05634469"/>
    <w:rsid w:val="06AE545B"/>
    <w:rsid w:val="09C6467C"/>
    <w:rsid w:val="0E830ADB"/>
    <w:rsid w:val="12034454"/>
    <w:rsid w:val="12B113C1"/>
    <w:rsid w:val="15747FCD"/>
    <w:rsid w:val="16A91C56"/>
    <w:rsid w:val="1743234C"/>
    <w:rsid w:val="186E164B"/>
    <w:rsid w:val="1F054EB2"/>
    <w:rsid w:val="1FBD0837"/>
    <w:rsid w:val="2048098A"/>
    <w:rsid w:val="20582C1A"/>
    <w:rsid w:val="21452913"/>
    <w:rsid w:val="21DA1403"/>
    <w:rsid w:val="25916979"/>
    <w:rsid w:val="297971D0"/>
    <w:rsid w:val="29A30D33"/>
    <w:rsid w:val="2B654BED"/>
    <w:rsid w:val="2CF739FC"/>
    <w:rsid w:val="34692D0C"/>
    <w:rsid w:val="395352F0"/>
    <w:rsid w:val="3BF21AC7"/>
    <w:rsid w:val="3C7A1C30"/>
    <w:rsid w:val="3D041DFE"/>
    <w:rsid w:val="3FA94B93"/>
    <w:rsid w:val="40EE65D6"/>
    <w:rsid w:val="42720234"/>
    <w:rsid w:val="44DF4BB3"/>
    <w:rsid w:val="46221DA8"/>
    <w:rsid w:val="47FD4632"/>
    <w:rsid w:val="499A379E"/>
    <w:rsid w:val="49C45158"/>
    <w:rsid w:val="4D432339"/>
    <w:rsid w:val="4D4C7A92"/>
    <w:rsid w:val="50EE0579"/>
    <w:rsid w:val="5171304C"/>
    <w:rsid w:val="51FA127E"/>
    <w:rsid w:val="539D45B7"/>
    <w:rsid w:val="5494607E"/>
    <w:rsid w:val="558477DD"/>
    <w:rsid w:val="55A7445B"/>
    <w:rsid w:val="564D4072"/>
    <w:rsid w:val="5BF27663"/>
    <w:rsid w:val="5C016164"/>
    <w:rsid w:val="5ECF0274"/>
    <w:rsid w:val="5FE30712"/>
    <w:rsid w:val="61477910"/>
    <w:rsid w:val="64C34CFE"/>
    <w:rsid w:val="66C54E83"/>
    <w:rsid w:val="672A6C9D"/>
    <w:rsid w:val="69513A22"/>
    <w:rsid w:val="69787DAA"/>
    <w:rsid w:val="69C97A5C"/>
    <w:rsid w:val="6B6A2B79"/>
    <w:rsid w:val="6B99520B"/>
    <w:rsid w:val="6DD46DFB"/>
    <w:rsid w:val="6FE54EC4"/>
    <w:rsid w:val="70CE3BAA"/>
    <w:rsid w:val="722274F1"/>
    <w:rsid w:val="72737FC4"/>
    <w:rsid w:val="730F0E54"/>
    <w:rsid w:val="75EF7FE9"/>
    <w:rsid w:val="78085BF3"/>
    <w:rsid w:val="78A23952"/>
    <w:rsid w:val="7D5E6409"/>
    <w:rsid w:val="7E8E7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0" w:name="heading 6"/>
    <w:lsdException w:qFormat="1" w:uiPriority="0" w:name="heading 7"/>
    <w:lsdException w:qFormat="1" w:uiPriority="9" w:name="heading 8"/>
    <w:lsdException w:qFormat="1" w:uiPriority="9"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cs="Times New Roman" w:eastAsiaTheme="minorEastAsia"/>
      <w:kern w:val="2"/>
      <w:sz w:val="21"/>
      <w:szCs w:val="22"/>
      <w:lang w:val="en-US" w:eastAsia="zh-CN" w:bidi="ar-SA"/>
    </w:rPr>
  </w:style>
  <w:style w:type="paragraph" w:styleId="2">
    <w:name w:val="heading 1"/>
    <w:basedOn w:val="1"/>
    <w:next w:val="1"/>
    <w:link w:val="48"/>
    <w:qFormat/>
    <w:uiPriority w:val="0"/>
    <w:pPr>
      <w:keepNext/>
      <w:keepLines/>
      <w:numPr>
        <w:ilvl w:val="0"/>
        <w:numId w:val="1"/>
      </w:numPr>
      <w:spacing w:before="360" w:after="360" w:line="578" w:lineRule="auto"/>
      <w:jc w:val="left"/>
      <w:outlineLvl w:val="0"/>
    </w:pPr>
    <w:rPr>
      <w:rFonts w:eastAsia="黑体"/>
      <w:b/>
      <w:bCs/>
      <w:kern w:val="44"/>
      <w:szCs w:val="44"/>
    </w:rPr>
  </w:style>
  <w:style w:type="paragraph" w:styleId="3">
    <w:name w:val="heading 2"/>
    <w:basedOn w:val="1"/>
    <w:next w:val="1"/>
    <w:link w:val="161"/>
    <w:unhideWhenUsed/>
    <w:qFormat/>
    <w:uiPriority w:val="9"/>
    <w:pPr>
      <w:keepNext/>
      <w:keepLines/>
      <w:numPr>
        <w:ilvl w:val="1"/>
        <w:numId w:val="1"/>
      </w:numPr>
      <w:jc w:val="left"/>
      <w:outlineLvl w:val="1"/>
    </w:pPr>
    <w:rPr>
      <w:rFonts w:eastAsia="黑体"/>
      <w:bCs/>
      <w:szCs w:val="24"/>
    </w:rPr>
  </w:style>
  <w:style w:type="paragraph" w:styleId="4">
    <w:name w:val="heading 3"/>
    <w:basedOn w:val="5"/>
    <w:next w:val="1"/>
    <w:link w:val="163"/>
    <w:unhideWhenUsed/>
    <w:qFormat/>
    <w:uiPriority w:val="9"/>
    <w:pPr>
      <w:keepNext/>
      <w:keepLines/>
      <w:numPr>
        <w:ilvl w:val="2"/>
        <w:numId w:val="1"/>
      </w:numPr>
      <w:spacing w:before="100" w:after="100" w:line="415" w:lineRule="auto"/>
      <w:outlineLvl w:val="2"/>
    </w:pPr>
    <w:rPr>
      <w:rFonts w:asciiTheme="minorHAnsi" w:hAnsiTheme="minorHAnsi"/>
      <w:bCs/>
      <w:szCs w:val="32"/>
    </w:rPr>
  </w:style>
  <w:style w:type="paragraph" w:styleId="7">
    <w:name w:val="heading 4"/>
    <w:basedOn w:val="1"/>
    <w:next w:val="1"/>
    <w:link w:val="164"/>
    <w:unhideWhenUsed/>
    <w:qFormat/>
    <w:uiPriority w:val="9"/>
    <w:pPr>
      <w:keepNext/>
      <w:keepLines/>
      <w:numPr>
        <w:ilvl w:val="3"/>
        <w:numId w:val="1"/>
      </w:numPr>
      <w:outlineLvl w:val="3"/>
    </w:pPr>
    <w:rPr>
      <w:rFonts w:asciiTheme="majorHAnsi" w:hAnsiTheme="majorHAnsi" w:eastAsiaTheme="majorEastAsia" w:cstheme="majorBidi"/>
      <w:bCs/>
      <w:szCs w:val="28"/>
    </w:rPr>
  </w:style>
  <w:style w:type="paragraph" w:styleId="8">
    <w:name w:val="heading 6"/>
    <w:basedOn w:val="1"/>
    <w:next w:val="1"/>
    <w:link w:val="49"/>
    <w:semiHidden/>
    <w:unhideWhenUsed/>
    <w:qFormat/>
    <w:uiPriority w:val="0"/>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50"/>
    <w:semiHidden/>
    <w:unhideWhenUsed/>
    <w:qFormat/>
    <w:uiPriority w:val="0"/>
    <w:pPr>
      <w:keepNext/>
      <w:keepLines/>
      <w:spacing w:before="240" w:after="64" w:line="320" w:lineRule="auto"/>
      <w:outlineLvl w:val="6"/>
    </w:pPr>
    <w:rPr>
      <w:rFonts w:eastAsia="宋体"/>
      <w:b/>
      <w:bCs/>
      <w:sz w:val="24"/>
      <w:szCs w:val="24"/>
    </w:rPr>
  </w:style>
  <w:style w:type="character" w:default="1" w:styleId="41">
    <w:name w:val="Default Paragraph Font"/>
    <w:semiHidden/>
    <w:unhideWhenUsed/>
    <w:uiPriority w:val="1"/>
  </w:style>
  <w:style w:type="table" w:default="1" w:styleId="39">
    <w:name w:val="Normal Table"/>
    <w:semiHidden/>
    <w:unhideWhenUsed/>
    <w:uiPriority w:val="99"/>
    <w:tblPr>
      <w:tblCellMar>
        <w:top w:w="0" w:type="dxa"/>
        <w:left w:w="108" w:type="dxa"/>
        <w:bottom w:w="0" w:type="dxa"/>
        <w:right w:w="108" w:type="dxa"/>
      </w:tblCellMar>
    </w:tblPr>
  </w:style>
  <w:style w:type="paragraph" w:customStyle="1" w:styleId="5">
    <w:name w:val="章标题"/>
    <w:next w:val="6"/>
    <w:link w:val="60"/>
    <w:qFormat/>
    <w:uiPriority w:val="99"/>
    <w:pPr>
      <w:spacing w:beforeLines="100" w:afterLines="100"/>
      <w:jc w:val="both"/>
      <w:outlineLvl w:val="1"/>
    </w:pPr>
    <w:rPr>
      <w:rFonts w:ascii="黑体" w:hAnsi="Times New Roman" w:eastAsia="黑体" w:cs="Times New Roman"/>
      <w:sz w:val="21"/>
      <w:lang w:val="en-US" w:eastAsia="zh-CN" w:bidi="ar-SA"/>
    </w:rPr>
  </w:style>
  <w:style w:type="paragraph" w:customStyle="1" w:styleId="6">
    <w:name w:val="段"/>
    <w:link w:val="59"/>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0">
    <w:name w:val="toc 7"/>
    <w:basedOn w:val="1"/>
    <w:next w:val="1"/>
    <w:qFormat/>
    <w:uiPriority w:val="39"/>
    <w:pPr>
      <w:tabs>
        <w:tab w:val="right" w:leader="dot" w:pos="9241"/>
      </w:tabs>
      <w:ind w:firstLine="505" w:firstLineChars="500"/>
      <w:jc w:val="left"/>
    </w:pPr>
    <w:rPr>
      <w:rFonts w:ascii="宋体" w:eastAsia="宋体"/>
      <w:szCs w:val="21"/>
    </w:rPr>
  </w:style>
  <w:style w:type="paragraph" w:styleId="11">
    <w:name w:val="index 8"/>
    <w:basedOn w:val="1"/>
    <w:next w:val="1"/>
    <w:qFormat/>
    <w:uiPriority w:val="0"/>
    <w:pPr>
      <w:ind w:left="1680" w:hanging="210"/>
      <w:jc w:val="left"/>
    </w:pPr>
    <w:rPr>
      <w:rFonts w:ascii="Calibri" w:hAnsi="Calibri" w:eastAsia="宋体"/>
      <w:sz w:val="20"/>
      <w:szCs w:val="20"/>
    </w:rPr>
  </w:style>
  <w:style w:type="paragraph" w:styleId="12">
    <w:name w:val="caption"/>
    <w:basedOn w:val="1"/>
    <w:next w:val="1"/>
    <w:qFormat/>
    <w:uiPriority w:val="0"/>
    <w:pPr>
      <w:spacing w:before="152" w:after="160"/>
    </w:pPr>
    <w:rPr>
      <w:rFonts w:ascii="Arial" w:hAnsi="Arial" w:eastAsia="黑体" w:cs="Arial"/>
      <w:sz w:val="20"/>
      <w:szCs w:val="20"/>
    </w:rPr>
  </w:style>
  <w:style w:type="paragraph" w:styleId="13">
    <w:name w:val="index 5"/>
    <w:basedOn w:val="1"/>
    <w:next w:val="1"/>
    <w:qFormat/>
    <w:uiPriority w:val="0"/>
    <w:pPr>
      <w:ind w:left="1050" w:hanging="210"/>
      <w:jc w:val="left"/>
    </w:pPr>
    <w:rPr>
      <w:rFonts w:ascii="Calibri" w:hAnsi="Calibri" w:eastAsia="宋体"/>
      <w:sz w:val="20"/>
      <w:szCs w:val="20"/>
    </w:rPr>
  </w:style>
  <w:style w:type="paragraph" w:styleId="14">
    <w:name w:val="Document Map"/>
    <w:basedOn w:val="1"/>
    <w:link w:val="65"/>
    <w:semiHidden/>
    <w:qFormat/>
    <w:uiPriority w:val="0"/>
    <w:pPr>
      <w:shd w:val="clear" w:color="auto" w:fill="000080"/>
    </w:pPr>
    <w:rPr>
      <w:rFonts w:eastAsia="宋体"/>
      <w:szCs w:val="24"/>
    </w:rPr>
  </w:style>
  <w:style w:type="paragraph" w:styleId="15">
    <w:name w:val="annotation text"/>
    <w:basedOn w:val="1"/>
    <w:link w:val="66"/>
    <w:qFormat/>
    <w:uiPriority w:val="0"/>
    <w:pPr>
      <w:jc w:val="left"/>
    </w:pPr>
    <w:rPr>
      <w:rFonts w:eastAsia="宋体"/>
      <w:szCs w:val="24"/>
    </w:rPr>
  </w:style>
  <w:style w:type="paragraph" w:styleId="16">
    <w:name w:val="index 6"/>
    <w:basedOn w:val="1"/>
    <w:next w:val="1"/>
    <w:qFormat/>
    <w:uiPriority w:val="0"/>
    <w:pPr>
      <w:ind w:left="1260" w:hanging="210"/>
      <w:jc w:val="left"/>
    </w:pPr>
    <w:rPr>
      <w:rFonts w:ascii="Calibri" w:hAnsi="Calibri" w:eastAsia="宋体"/>
      <w:sz w:val="20"/>
      <w:szCs w:val="20"/>
    </w:rPr>
  </w:style>
  <w:style w:type="paragraph" w:styleId="17">
    <w:name w:val="index 4"/>
    <w:basedOn w:val="1"/>
    <w:next w:val="1"/>
    <w:qFormat/>
    <w:uiPriority w:val="0"/>
    <w:pPr>
      <w:ind w:left="840" w:hanging="210"/>
      <w:jc w:val="left"/>
    </w:pPr>
    <w:rPr>
      <w:rFonts w:ascii="Calibri" w:hAnsi="Calibri" w:eastAsia="宋体"/>
      <w:sz w:val="20"/>
      <w:szCs w:val="20"/>
    </w:rPr>
  </w:style>
  <w:style w:type="paragraph" w:styleId="18">
    <w:name w:val="toc 5"/>
    <w:basedOn w:val="1"/>
    <w:next w:val="1"/>
    <w:qFormat/>
    <w:uiPriority w:val="39"/>
    <w:pPr>
      <w:tabs>
        <w:tab w:val="right" w:leader="dot" w:pos="9241"/>
      </w:tabs>
      <w:ind w:firstLine="300" w:firstLineChars="300"/>
      <w:jc w:val="left"/>
    </w:pPr>
    <w:rPr>
      <w:rFonts w:ascii="宋体" w:eastAsia="宋体"/>
      <w:szCs w:val="21"/>
    </w:rPr>
  </w:style>
  <w:style w:type="paragraph" w:styleId="19">
    <w:name w:val="toc 3"/>
    <w:basedOn w:val="1"/>
    <w:next w:val="1"/>
    <w:qFormat/>
    <w:uiPriority w:val="39"/>
    <w:pPr>
      <w:tabs>
        <w:tab w:val="right" w:leader="dot" w:pos="9241"/>
      </w:tabs>
      <w:ind w:firstLine="102" w:firstLineChars="100"/>
      <w:jc w:val="left"/>
    </w:pPr>
    <w:rPr>
      <w:rFonts w:ascii="宋体" w:eastAsia="宋体"/>
      <w:szCs w:val="21"/>
    </w:rPr>
  </w:style>
  <w:style w:type="paragraph" w:styleId="20">
    <w:name w:val="Plain Text"/>
    <w:basedOn w:val="1"/>
    <w:link w:val="67"/>
    <w:qFormat/>
    <w:uiPriority w:val="99"/>
    <w:rPr>
      <w:rFonts w:ascii="宋体" w:hAnsi="Courier New" w:eastAsia="宋体" w:cs="Courier New"/>
      <w:szCs w:val="21"/>
    </w:rPr>
  </w:style>
  <w:style w:type="paragraph" w:styleId="21">
    <w:name w:val="toc 8"/>
    <w:basedOn w:val="1"/>
    <w:next w:val="1"/>
    <w:qFormat/>
    <w:uiPriority w:val="39"/>
    <w:pPr>
      <w:tabs>
        <w:tab w:val="right" w:leader="dot" w:pos="9241"/>
      </w:tabs>
      <w:ind w:firstLine="607" w:firstLineChars="600"/>
      <w:jc w:val="left"/>
    </w:pPr>
    <w:rPr>
      <w:rFonts w:ascii="宋体" w:eastAsia="宋体"/>
      <w:szCs w:val="21"/>
    </w:rPr>
  </w:style>
  <w:style w:type="paragraph" w:styleId="22">
    <w:name w:val="index 3"/>
    <w:basedOn w:val="1"/>
    <w:next w:val="1"/>
    <w:qFormat/>
    <w:uiPriority w:val="0"/>
    <w:pPr>
      <w:ind w:left="630" w:hanging="210"/>
      <w:jc w:val="left"/>
    </w:pPr>
    <w:rPr>
      <w:rFonts w:ascii="Calibri" w:hAnsi="Calibri" w:eastAsia="宋体"/>
      <w:sz w:val="20"/>
      <w:szCs w:val="20"/>
    </w:rPr>
  </w:style>
  <w:style w:type="paragraph" w:styleId="23">
    <w:name w:val="endnote text"/>
    <w:basedOn w:val="1"/>
    <w:link w:val="68"/>
    <w:semiHidden/>
    <w:qFormat/>
    <w:uiPriority w:val="0"/>
    <w:pPr>
      <w:snapToGrid w:val="0"/>
      <w:jc w:val="left"/>
    </w:pPr>
    <w:rPr>
      <w:rFonts w:eastAsia="宋体"/>
      <w:szCs w:val="24"/>
    </w:rPr>
  </w:style>
  <w:style w:type="paragraph" w:styleId="24">
    <w:name w:val="Balloon Text"/>
    <w:basedOn w:val="1"/>
    <w:link w:val="58"/>
    <w:unhideWhenUsed/>
    <w:qFormat/>
    <w:uiPriority w:val="0"/>
    <w:rPr>
      <w:sz w:val="18"/>
      <w:szCs w:val="18"/>
    </w:rPr>
  </w:style>
  <w:style w:type="paragraph" w:styleId="25">
    <w:name w:val="footer"/>
    <w:basedOn w:val="1"/>
    <w:link w:val="52"/>
    <w:unhideWhenUsed/>
    <w:qFormat/>
    <w:uiPriority w:val="99"/>
    <w:pPr>
      <w:tabs>
        <w:tab w:val="center" w:pos="4153"/>
        <w:tab w:val="right" w:pos="8306"/>
      </w:tabs>
      <w:snapToGrid w:val="0"/>
      <w:jc w:val="left"/>
    </w:pPr>
    <w:rPr>
      <w:sz w:val="18"/>
      <w:szCs w:val="18"/>
    </w:rPr>
  </w:style>
  <w:style w:type="paragraph" w:styleId="26">
    <w:name w:val="header"/>
    <w:basedOn w:val="1"/>
    <w:link w:val="51"/>
    <w:unhideWhenUsed/>
    <w:qFormat/>
    <w:uiPriority w:val="99"/>
    <w:pPr>
      <w:pBdr>
        <w:bottom w:val="single" w:color="auto" w:sz="6" w:space="1"/>
      </w:pBdr>
      <w:tabs>
        <w:tab w:val="center" w:pos="4153"/>
        <w:tab w:val="right" w:pos="8306"/>
      </w:tabs>
      <w:snapToGrid w:val="0"/>
      <w:jc w:val="center"/>
    </w:pPr>
    <w:rPr>
      <w:sz w:val="18"/>
      <w:szCs w:val="18"/>
    </w:rPr>
  </w:style>
  <w:style w:type="paragraph" w:styleId="27">
    <w:name w:val="toc 1"/>
    <w:basedOn w:val="1"/>
    <w:next w:val="1"/>
    <w:qFormat/>
    <w:uiPriority w:val="39"/>
    <w:pPr>
      <w:tabs>
        <w:tab w:val="right" w:leader="dot" w:pos="9241"/>
      </w:tabs>
      <w:spacing w:beforeLines="25" w:afterLines="25"/>
      <w:jc w:val="left"/>
    </w:pPr>
    <w:rPr>
      <w:rFonts w:ascii="宋体" w:eastAsia="宋体"/>
      <w:szCs w:val="21"/>
    </w:rPr>
  </w:style>
  <w:style w:type="paragraph" w:styleId="28">
    <w:name w:val="toc 4"/>
    <w:basedOn w:val="1"/>
    <w:next w:val="1"/>
    <w:qFormat/>
    <w:uiPriority w:val="39"/>
    <w:pPr>
      <w:tabs>
        <w:tab w:val="right" w:leader="dot" w:pos="9241"/>
      </w:tabs>
      <w:ind w:firstLine="198"/>
      <w:jc w:val="left"/>
    </w:pPr>
    <w:rPr>
      <w:rFonts w:ascii="宋体" w:eastAsia="宋体"/>
      <w:szCs w:val="21"/>
    </w:rPr>
  </w:style>
  <w:style w:type="paragraph" w:styleId="29">
    <w:name w:val="index heading"/>
    <w:basedOn w:val="1"/>
    <w:next w:val="30"/>
    <w:qFormat/>
    <w:uiPriority w:val="0"/>
    <w:pPr>
      <w:spacing w:before="120" w:after="120"/>
      <w:jc w:val="center"/>
    </w:pPr>
    <w:rPr>
      <w:rFonts w:ascii="Calibri" w:hAnsi="Calibri" w:eastAsia="宋体"/>
      <w:b/>
      <w:bCs/>
      <w:iCs/>
      <w:szCs w:val="20"/>
    </w:rPr>
  </w:style>
  <w:style w:type="paragraph" w:styleId="30">
    <w:name w:val="index 1"/>
    <w:basedOn w:val="1"/>
    <w:next w:val="1"/>
    <w:unhideWhenUsed/>
    <w:qFormat/>
    <w:uiPriority w:val="0"/>
  </w:style>
  <w:style w:type="paragraph" w:styleId="31">
    <w:name w:val="footnote text"/>
    <w:basedOn w:val="1"/>
    <w:link w:val="69"/>
    <w:qFormat/>
    <w:uiPriority w:val="0"/>
    <w:pPr>
      <w:tabs>
        <w:tab w:val="left" w:pos="0"/>
      </w:tabs>
      <w:snapToGrid w:val="0"/>
      <w:ind w:left="720" w:hanging="357"/>
      <w:jc w:val="left"/>
    </w:pPr>
    <w:rPr>
      <w:rFonts w:ascii="宋体" w:eastAsia="宋体"/>
      <w:sz w:val="18"/>
      <w:szCs w:val="18"/>
    </w:rPr>
  </w:style>
  <w:style w:type="paragraph" w:styleId="32">
    <w:name w:val="toc 6"/>
    <w:basedOn w:val="1"/>
    <w:next w:val="1"/>
    <w:qFormat/>
    <w:uiPriority w:val="39"/>
    <w:pPr>
      <w:tabs>
        <w:tab w:val="right" w:leader="dot" w:pos="9241"/>
      </w:tabs>
      <w:ind w:firstLine="403" w:firstLineChars="400"/>
      <w:jc w:val="left"/>
    </w:pPr>
    <w:rPr>
      <w:rFonts w:ascii="宋体" w:eastAsia="宋体"/>
      <w:szCs w:val="21"/>
    </w:rPr>
  </w:style>
  <w:style w:type="paragraph" w:styleId="33">
    <w:name w:val="index 7"/>
    <w:basedOn w:val="1"/>
    <w:next w:val="1"/>
    <w:qFormat/>
    <w:uiPriority w:val="0"/>
    <w:pPr>
      <w:ind w:left="1470" w:hanging="210"/>
      <w:jc w:val="left"/>
    </w:pPr>
    <w:rPr>
      <w:rFonts w:ascii="Calibri" w:hAnsi="Calibri" w:eastAsia="宋体"/>
      <w:sz w:val="20"/>
      <w:szCs w:val="20"/>
    </w:rPr>
  </w:style>
  <w:style w:type="paragraph" w:styleId="34">
    <w:name w:val="index 9"/>
    <w:basedOn w:val="1"/>
    <w:next w:val="1"/>
    <w:qFormat/>
    <w:uiPriority w:val="0"/>
    <w:pPr>
      <w:ind w:left="1890" w:hanging="210"/>
      <w:jc w:val="left"/>
    </w:pPr>
    <w:rPr>
      <w:rFonts w:ascii="Calibri" w:hAnsi="Calibri" w:eastAsia="宋体"/>
      <w:sz w:val="20"/>
      <w:szCs w:val="20"/>
    </w:rPr>
  </w:style>
  <w:style w:type="paragraph" w:styleId="35">
    <w:name w:val="toc 2"/>
    <w:basedOn w:val="1"/>
    <w:next w:val="1"/>
    <w:qFormat/>
    <w:uiPriority w:val="39"/>
    <w:pPr>
      <w:tabs>
        <w:tab w:val="right" w:leader="dot" w:pos="9241"/>
      </w:tabs>
    </w:pPr>
    <w:rPr>
      <w:rFonts w:ascii="宋体" w:eastAsia="宋体"/>
      <w:szCs w:val="21"/>
    </w:rPr>
  </w:style>
  <w:style w:type="paragraph" w:styleId="36">
    <w:name w:val="toc 9"/>
    <w:basedOn w:val="1"/>
    <w:next w:val="1"/>
    <w:qFormat/>
    <w:uiPriority w:val="39"/>
    <w:pPr>
      <w:ind w:left="1470"/>
      <w:jc w:val="left"/>
    </w:pPr>
    <w:rPr>
      <w:rFonts w:eastAsia="宋体"/>
      <w:sz w:val="20"/>
      <w:szCs w:val="20"/>
    </w:rPr>
  </w:style>
  <w:style w:type="paragraph" w:styleId="37">
    <w:name w:val="index 2"/>
    <w:basedOn w:val="1"/>
    <w:next w:val="1"/>
    <w:qFormat/>
    <w:uiPriority w:val="0"/>
    <w:pPr>
      <w:ind w:left="420" w:hanging="210"/>
      <w:jc w:val="left"/>
    </w:pPr>
    <w:rPr>
      <w:rFonts w:ascii="Calibri" w:hAnsi="Calibri" w:eastAsia="宋体"/>
      <w:sz w:val="20"/>
      <w:szCs w:val="20"/>
    </w:rPr>
  </w:style>
  <w:style w:type="paragraph" w:styleId="38">
    <w:name w:val="annotation subject"/>
    <w:basedOn w:val="15"/>
    <w:next w:val="15"/>
    <w:link w:val="70"/>
    <w:qFormat/>
    <w:uiPriority w:val="0"/>
    <w:rPr>
      <w:b/>
      <w:bCs/>
    </w:rPr>
  </w:style>
  <w:style w:type="table" w:styleId="40">
    <w:name w:val="Table Grid"/>
    <w:basedOn w:val="3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2">
    <w:name w:val="endnote reference"/>
    <w:semiHidden/>
    <w:qFormat/>
    <w:uiPriority w:val="0"/>
    <w:rPr>
      <w:vertAlign w:val="superscript"/>
    </w:rPr>
  </w:style>
  <w:style w:type="character" w:styleId="43">
    <w:name w:val="page number"/>
    <w:qFormat/>
    <w:uiPriority w:val="0"/>
    <w:rPr>
      <w:rFonts w:ascii="Times New Roman" w:hAnsi="Times New Roman" w:eastAsia="宋体"/>
      <w:sz w:val="18"/>
    </w:rPr>
  </w:style>
  <w:style w:type="character" w:styleId="44">
    <w:name w:val="FollowedHyperlink"/>
    <w:qFormat/>
    <w:uiPriority w:val="0"/>
    <w:rPr>
      <w:color w:val="800080"/>
      <w:u w:val="single"/>
    </w:rPr>
  </w:style>
  <w:style w:type="character" w:styleId="45">
    <w:name w:val="Hyperlink"/>
    <w:qFormat/>
    <w:uiPriority w:val="99"/>
    <w:rPr>
      <w:color w:val="0000FF"/>
      <w:spacing w:val="0"/>
      <w:w w:val="100"/>
      <w:szCs w:val="21"/>
      <w:u w:val="single"/>
      <w:lang w:val="en-US" w:eastAsia="zh-CN"/>
    </w:rPr>
  </w:style>
  <w:style w:type="character" w:styleId="46">
    <w:name w:val="annotation reference"/>
    <w:qFormat/>
    <w:uiPriority w:val="0"/>
    <w:rPr>
      <w:sz w:val="21"/>
      <w:szCs w:val="21"/>
    </w:rPr>
  </w:style>
  <w:style w:type="character" w:styleId="47">
    <w:name w:val="footnote reference"/>
    <w:semiHidden/>
    <w:qFormat/>
    <w:uiPriority w:val="0"/>
    <w:rPr>
      <w:vertAlign w:val="superscript"/>
    </w:rPr>
  </w:style>
  <w:style w:type="character" w:customStyle="1" w:styleId="48">
    <w:name w:val="标题 1 字符"/>
    <w:basedOn w:val="41"/>
    <w:link w:val="2"/>
    <w:qFormat/>
    <w:uiPriority w:val="0"/>
    <w:rPr>
      <w:rFonts w:eastAsia="黑体"/>
      <w:b/>
      <w:bCs/>
      <w:kern w:val="44"/>
      <w:sz w:val="21"/>
      <w:szCs w:val="44"/>
    </w:rPr>
  </w:style>
  <w:style w:type="character" w:customStyle="1" w:styleId="49">
    <w:name w:val="标题 6 字符"/>
    <w:basedOn w:val="41"/>
    <w:link w:val="8"/>
    <w:semiHidden/>
    <w:qFormat/>
    <w:uiPriority w:val="0"/>
    <w:rPr>
      <w:rFonts w:asciiTheme="majorHAnsi" w:hAnsiTheme="majorHAnsi" w:eastAsiaTheme="majorEastAsia" w:cstheme="majorBidi"/>
      <w:b/>
      <w:bCs/>
      <w:sz w:val="24"/>
      <w:szCs w:val="24"/>
    </w:rPr>
  </w:style>
  <w:style w:type="character" w:customStyle="1" w:styleId="50">
    <w:name w:val="标题 7 字符"/>
    <w:basedOn w:val="41"/>
    <w:link w:val="9"/>
    <w:semiHidden/>
    <w:qFormat/>
    <w:uiPriority w:val="0"/>
    <w:rPr>
      <w:rFonts w:ascii="Times New Roman" w:hAnsi="Times New Roman" w:eastAsia="宋体" w:cs="Times New Roman"/>
      <w:b/>
      <w:bCs/>
      <w:sz w:val="24"/>
      <w:szCs w:val="24"/>
    </w:rPr>
  </w:style>
  <w:style w:type="character" w:customStyle="1" w:styleId="51">
    <w:name w:val="页眉 字符"/>
    <w:basedOn w:val="41"/>
    <w:link w:val="26"/>
    <w:qFormat/>
    <w:uiPriority w:val="99"/>
    <w:rPr>
      <w:sz w:val="18"/>
      <w:szCs w:val="18"/>
    </w:rPr>
  </w:style>
  <w:style w:type="character" w:customStyle="1" w:styleId="52">
    <w:name w:val="页脚 字符"/>
    <w:basedOn w:val="41"/>
    <w:link w:val="25"/>
    <w:qFormat/>
    <w:uiPriority w:val="99"/>
    <w:rPr>
      <w:sz w:val="18"/>
      <w:szCs w:val="18"/>
    </w:rPr>
  </w:style>
  <w:style w:type="paragraph" w:customStyle="1" w:styleId="53">
    <w:name w:val="一级条标题"/>
    <w:next w:val="1"/>
    <w:link w:val="54"/>
    <w:qFormat/>
    <w:uiPriority w:val="99"/>
    <w:pPr>
      <w:spacing w:beforeLines="50" w:afterLines="50"/>
      <w:outlineLvl w:val="2"/>
    </w:pPr>
    <w:rPr>
      <w:rFonts w:ascii="黑体" w:hAnsi="Times New Roman" w:eastAsia="黑体" w:cs="Times New Roman"/>
      <w:sz w:val="21"/>
      <w:szCs w:val="21"/>
      <w:lang w:val="en-US" w:eastAsia="zh-CN" w:bidi="ar-SA"/>
    </w:rPr>
  </w:style>
  <w:style w:type="character" w:customStyle="1" w:styleId="54">
    <w:name w:val="一级条标题 Char"/>
    <w:link w:val="53"/>
    <w:qFormat/>
    <w:locked/>
    <w:uiPriority w:val="0"/>
    <w:rPr>
      <w:rFonts w:ascii="黑体" w:hAnsi="Times New Roman" w:eastAsia="黑体" w:cs="Times New Roman"/>
      <w:kern w:val="0"/>
      <w:szCs w:val="21"/>
    </w:rPr>
  </w:style>
  <w:style w:type="paragraph" w:customStyle="1" w:styleId="5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styleId="57">
    <w:name w:val="List Paragraph"/>
    <w:basedOn w:val="1"/>
    <w:qFormat/>
    <w:uiPriority w:val="99"/>
  </w:style>
  <w:style w:type="character" w:customStyle="1" w:styleId="58">
    <w:name w:val="批注框文本 字符"/>
    <w:basedOn w:val="41"/>
    <w:link w:val="24"/>
    <w:qFormat/>
    <w:uiPriority w:val="0"/>
    <w:rPr>
      <w:sz w:val="18"/>
      <w:szCs w:val="18"/>
    </w:rPr>
  </w:style>
  <w:style w:type="character" w:customStyle="1" w:styleId="59">
    <w:name w:val="段 Char"/>
    <w:link w:val="6"/>
    <w:qFormat/>
    <w:uiPriority w:val="99"/>
    <w:rPr>
      <w:rFonts w:ascii="宋体" w:hAnsi="Times New Roman" w:eastAsia="宋体" w:cs="Times New Roman"/>
      <w:kern w:val="0"/>
      <w:szCs w:val="20"/>
    </w:rPr>
  </w:style>
  <w:style w:type="character" w:customStyle="1" w:styleId="60">
    <w:name w:val="章标题 Char"/>
    <w:link w:val="5"/>
    <w:qFormat/>
    <w:locked/>
    <w:uiPriority w:val="0"/>
    <w:rPr>
      <w:rFonts w:ascii="黑体" w:hAnsi="Times New Roman" w:eastAsia="黑体" w:cs="Times New Roman"/>
      <w:kern w:val="0"/>
      <w:szCs w:val="20"/>
    </w:rPr>
  </w:style>
  <w:style w:type="character" w:customStyle="1" w:styleId="61">
    <w:name w:val="二级条标题 Char"/>
    <w:link w:val="62"/>
    <w:qFormat/>
    <w:uiPriority w:val="0"/>
    <w:rPr>
      <w:rFonts w:ascii="黑体" w:eastAsia="黑体"/>
      <w:szCs w:val="21"/>
    </w:rPr>
  </w:style>
  <w:style w:type="paragraph" w:customStyle="1" w:styleId="62">
    <w:name w:val="二级条标题"/>
    <w:basedOn w:val="53"/>
    <w:next w:val="6"/>
    <w:link w:val="61"/>
    <w:qFormat/>
    <w:uiPriority w:val="99"/>
    <w:pPr>
      <w:spacing w:before="50" w:after="50"/>
      <w:outlineLvl w:val="3"/>
    </w:pPr>
    <w:rPr>
      <w:rFonts w:hAnsiTheme="minorHAnsi" w:cstheme="minorBidi"/>
      <w:kern w:val="2"/>
    </w:rPr>
  </w:style>
  <w:style w:type="paragraph" w:customStyle="1" w:styleId="63">
    <w:name w:val="注×：（正文）"/>
    <w:qFormat/>
    <w:uiPriority w:val="0"/>
    <w:pPr>
      <w:ind w:left="3283" w:hanging="448"/>
      <w:jc w:val="both"/>
    </w:pPr>
    <w:rPr>
      <w:rFonts w:ascii="宋体" w:hAnsi="Times New Roman" w:eastAsia="宋体" w:cs="Times New Roman"/>
      <w:sz w:val="18"/>
      <w:szCs w:val="18"/>
      <w:lang w:val="en-US" w:eastAsia="zh-CN" w:bidi="ar-SA"/>
    </w:rPr>
  </w:style>
  <w:style w:type="paragraph" w:customStyle="1" w:styleId="64">
    <w:name w:val="注：（正文）"/>
    <w:basedOn w:val="1"/>
    <w:next w:val="6"/>
    <w:qFormat/>
    <w:uiPriority w:val="0"/>
    <w:pPr>
      <w:autoSpaceDE w:val="0"/>
      <w:autoSpaceDN w:val="0"/>
      <w:ind w:left="789" w:hanging="363"/>
    </w:pPr>
    <w:rPr>
      <w:rFonts w:ascii="宋体" w:eastAsia="宋体"/>
      <w:kern w:val="0"/>
      <w:sz w:val="18"/>
      <w:szCs w:val="18"/>
    </w:rPr>
  </w:style>
  <w:style w:type="character" w:customStyle="1" w:styleId="65">
    <w:name w:val="文档结构图 字符"/>
    <w:basedOn w:val="41"/>
    <w:link w:val="14"/>
    <w:semiHidden/>
    <w:qFormat/>
    <w:uiPriority w:val="0"/>
    <w:rPr>
      <w:rFonts w:ascii="Times New Roman" w:hAnsi="Times New Roman" w:eastAsia="宋体" w:cs="Times New Roman"/>
      <w:szCs w:val="24"/>
      <w:shd w:val="clear" w:color="auto" w:fill="000080"/>
    </w:rPr>
  </w:style>
  <w:style w:type="character" w:customStyle="1" w:styleId="66">
    <w:name w:val="批注文字 字符"/>
    <w:basedOn w:val="41"/>
    <w:link w:val="15"/>
    <w:qFormat/>
    <w:uiPriority w:val="0"/>
    <w:rPr>
      <w:rFonts w:ascii="Times New Roman" w:hAnsi="Times New Roman" w:eastAsia="宋体" w:cs="Times New Roman"/>
      <w:szCs w:val="24"/>
    </w:rPr>
  </w:style>
  <w:style w:type="character" w:customStyle="1" w:styleId="67">
    <w:name w:val="纯文本 字符"/>
    <w:basedOn w:val="41"/>
    <w:link w:val="20"/>
    <w:qFormat/>
    <w:uiPriority w:val="99"/>
    <w:rPr>
      <w:rFonts w:ascii="宋体" w:hAnsi="Courier New" w:eastAsia="宋体" w:cs="Courier New"/>
      <w:szCs w:val="21"/>
    </w:rPr>
  </w:style>
  <w:style w:type="character" w:customStyle="1" w:styleId="68">
    <w:name w:val="尾注文本 字符"/>
    <w:basedOn w:val="41"/>
    <w:link w:val="23"/>
    <w:semiHidden/>
    <w:qFormat/>
    <w:uiPriority w:val="0"/>
    <w:rPr>
      <w:rFonts w:ascii="Times New Roman" w:hAnsi="Times New Roman" w:eastAsia="宋体" w:cs="Times New Roman"/>
      <w:szCs w:val="24"/>
    </w:rPr>
  </w:style>
  <w:style w:type="character" w:customStyle="1" w:styleId="69">
    <w:name w:val="脚注文本 字符"/>
    <w:basedOn w:val="41"/>
    <w:link w:val="31"/>
    <w:qFormat/>
    <w:uiPriority w:val="0"/>
    <w:rPr>
      <w:rFonts w:ascii="宋体" w:hAnsi="Times New Roman" w:eastAsia="宋体" w:cs="Times New Roman"/>
      <w:sz w:val="18"/>
      <w:szCs w:val="18"/>
    </w:rPr>
  </w:style>
  <w:style w:type="character" w:customStyle="1" w:styleId="70">
    <w:name w:val="批注主题 字符"/>
    <w:basedOn w:val="66"/>
    <w:link w:val="38"/>
    <w:qFormat/>
    <w:uiPriority w:val="0"/>
    <w:rPr>
      <w:rFonts w:ascii="Times New Roman" w:hAnsi="Times New Roman" w:eastAsia="宋体" w:cs="Times New Roman"/>
      <w:b/>
      <w:bCs/>
      <w:szCs w:val="24"/>
    </w:rPr>
  </w:style>
  <w:style w:type="character" w:customStyle="1" w:styleId="71">
    <w:name w:val="发布"/>
    <w:qFormat/>
    <w:uiPriority w:val="0"/>
    <w:rPr>
      <w:rFonts w:ascii="黑体" w:eastAsia="黑体"/>
      <w:spacing w:val="85"/>
      <w:w w:val="100"/>
      <w:position w:val="3"/>
      <w:sz w:val="28"/>
      <w:szCs w:val="28"/>
    </w:rPr>
  </w:style>
  <w:style w:type="character" w:customStyle="1" w:styleId="72">
    <w:name w:val="首示例 Char"/>
    <w:link w:val="73"/>
    <w:qFormat/>
    <w:uiPriority w:val="0"/>
    <w:rPr>
      <w:rFonts w:ascii="宋体" w:hAnsi="宋体"/>
      <w:sz w:val="18"/>
      <w:szCs w:val="18"/>
    </w:rPr>
  </w:style>
  <w:style w:type="paragraph" w:customStyle="1" w:styleId="73">
    <w:name w:val="首示例"/>
    <w:next w:val="6"/>
    <w:link w:val="72"/>
    <w:qFormat/>
    <w:uiPriority w:val="0"/>
    <w:pPr>
      <w:tabs>
        <w:tab w:val="left" w:pos="360"/>
      </w:tabs>
    </w:pPr>
    <w:rPr>
      <w:rFonts w:ascii="宋体" w:hAnsi="宋体" w:eastAsiaTheme="minorEastAsia" w:cstheme="minorBidi"/>
      <w:kern w:val="2"/>
      <w:sz w:val="18"/>
      <w:szCs w:val="18"/>
      <w:lang w:val="en-US" w:eastAsia="zh-CN" w:bidi="ar-SA"/>
    </w:rPr>
  </w:style>
  <w:style w:type="character" w:customStyle="1" w:styleId="74">
    <w:name w:val="附录公式 Char"/>
    <w:basedOn w:val="59"/>
    <w:link w:val="75"/>
    <w:qFormat/>
    <w:uiPriority w:val="0"/>
    <w:rPr>
      <w:rFonts w:ascii="宋体" w:hAnsi="Times New Roman" w:eastAsia="宋体" w:cs="Times New Roman"/>
      <w:kern w:val="0"/>
      <w:szCs w:val="20"/>
    </w:rPr>
  </w:style>
  <w:style w:type="paragraph" w:customStyle="1" w:styleId="75">
    <w:name w:val="附录公式"/>
    <w:basedOn w:val="6"/>
    <w:next w:val="6"/>
    <w:link w:val="74"/>
    <w:qFormat/>
    <w:uiPriority w:val="0"/>
    <w:rPr>
      <w:rFonts w:hAnsiTheme="minorHAnsi" w:eastAsiaTheme="minorEastAsia" w:cstheme="minorBidi"/>
      <w:kern w:val="2"/>
      <w:szCs w:val="22"/>
    </w:rPr>
  </w:style>
  <w:style w:type="paragraph" w:customStyle="1" w:styleId="76">
    <w:name w:val="附录公式编号制表符"/>
    <w:basedOn w:val="1"/>
    <w:next w:val="6"/>
    <w:qFormat/>
    <w:uiPriority w:val="0"/>
    <w:pPr>
      <w:widowControl/>
      <w:tabs>
        <w:tab w:val="center" w:pos="4201"/>
        <w:tab w:val="right" w:leader="dot" w:pos="9298"/>
      </w:tabs>
      <w:autoSpaceDE w:val="0"/>
      <w:autoSpaceDN w:val="0"/>
    </w:pPr>
    <w:rPr>
      <w:rFonts w:ascii="宋体" w:eastAsia="宋体"/>
      <w:kern w:val="0"/>
      <w:szCs w:val="20"/>
    </w:rPr>
  </w:style>
  <w:style w:type="paragraph" w:customStyle="1" w:styleId="77">
    <w:name w:val="附录一级条标题"/>
    <w:basedOn w:val="78"/>
    <w:next w:val="6"/>
    <w:link w:val="171"/>
    <w:qFormat/>
    <w:uiPriority w:val="0"/>
    <w:pPr>
      <w:numPr>
        <w:numId w:val="2"/>
      </w:numPr>
      <w:tabs>
        <w:tab w:val="left" w:pos="360"/>
      </w:tabs>
      <w:autoSpaceDN w:val="0"/>
      <w:spacing w:before="50" w:beforeLines="50" w:after="50" w:afterLines="50"/>
      <w:outlineLvl w:val="2"/>
    </w:pPr>
  </w:style>
  <w:style w:type="paragraph" w:customStyle="1" w:styleId="78">
    <w:name w:val="附录章标题"/>
    <w:next w:val="6"/>
    <w:link w:val="170"/>
    <w:qFormat/>
    <w:uiPriority w:val="0"/>
    <w:pPr>
      <w:numPr>
        <w:ilvl w:val="0"/>
        <w:numId w:val="3"/>
      </w:numPr>
      <w:tabs>
        <w:tab w:val="left" w:pos="360"/>
      </w:tabs>
      <w:wordWrap w:val="0"/>
      <w:overflowPunct w:val="0"/>
      <w:autoSpaceDE w:val="0"/>
      <w:spacing w:before="100" w:beforeLines="100" w:after="100" w:afterLines="100"/>
      <w:jc w:val="both"/>
      <w:textAlignment w:val="baseline"/>
      <w:outlineLvl w:val="1"/>
    </w:pPr>
    <w:rPr>
      <w:rFonts w:ascii="黑体" w:hAnsi="黑体" w:eastAsia="黑体" w:cs="Times New Roman"/>
      <w:kern w:val="21"/>
      <w:sz w:val="21"/>
      <w:lang w:val="en-US" w:eastAsia="zh-CN" w:bidi="ar-SA"/>
    </w:rPr>
  </w:style>
  <w:style w:type="paragraph" w:customStyle="1" w:styleId="79">
    <w:name w:val="封面标准英文名称"/>
    <w:basedOn w:val="80"/>
    <w:qFormat/>
    <w:uiPriority w:val="0"/>
    <w:pPr>
      <w:framePr w:wrap="around"/>
      <w:spacing w:before="370" w:line="400" w:lineRule="exact"/>
    </w:pPr>
    <w:rPr>
      <w:rFonts w:ascii="Times New Roman"/>
      <w:sz w:val="28"/>
      <w:szCs w:val="28"/>
    </w:rPr>
  </w:style>
  <w:style w:type="paragraph" w:customStyle="1" w:styleId="8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1">
    <w:name w:val="附录五级无"/>
    <w:basedOn w:val="82"/>
    <w:qFormat/>
    <w:uiPriority w:val="0"/>
    <w:pPr>
      <w:tabs>
        <w:tab w:val="left" w:pos="360"/>
      </w:tabs>
      <w:spacing w:beforeLines="0" w:afterLines="0"/>
    </w:pPr>
    <w:rPr>
      <w:rFonts w:ascii="宋体" w:eastAsia="宋体"/>
      <w:szCs w:val="21"/>
    </w:rPr>
  </w:style>
  <w:style w:type="paragraph" w:customStyle="1" w:styleId="82">
    <w:name w:val="附录五级条标题"/>
    <w:basedOn w:val="83"/>
    <w:next w:val="6"/>
    <w:qFormat/>
    <w:uiPriority w:val="0"/>
    <w:pPr>
      <w:tabs>
        <w:tab w:val="left" w:pos="360"/>
      </w:tabs>
      <w:outlineLvl w:val="6"/>
    </w:pPr>
  </w:style>
  <w:style w:type="paragraph" w:customStyle="1" w:styleId="83">
    <w:name w:val="附录四级条标题"/>
    <w:basedOn w:val="84"/>
    <w:next w:val="6"/>
    <w:qFormat/>
    <w:uiPriority w:val="0"/>
    <w:pPr>
      <w:tabs>
        <w:tab w:val="left" w:pos="360"/>
      </w:tabs>
      <w:outlineLvl w:val="5"/>
    </w:pPr>
  </w:style>
  <w:style w:type="paragraph" w:customStyle="1" w:styleId="84">
    <w:name w:val="附录三级条标题"/>
    <w:basedOn w:val="85"/>
    <w:next w:val="6"/>
    <w:qFormat/>
    <w:uiPriority w:val="0"/>
    <w:pPr>
      <w:tabs>
        <w:tab w:val="left" w:pos="360"/>
      </w:tabs>
      <w:outlineLvl w:val="4"/>
    </w:pPr>
  </w:style>
  <w:style w:type="paragraph" w:customStyle="1" w:styleId="85">
    <w:name w:val="附录二级条标题"/>
    <w:basedOn w:val="1"/>
    <w:next w:val="6"/>
    <w:qFormat/>
    <w:uiPriority w:val="0"/>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6">
    <w:name w:val="列项◆（三级）"/>
    <w:basedOn w:val="1"/>
    <w:qFormat/>
    <w:uiPriority w:val="0"/>
    <w:pPr>
      <w:tabs>
        <w:tab w:val="left" w:pos="1678"/>
      </w:tabs>
      <w:ind w:left="1678" w:hanging="414"/>
    </w:pPr>
    <w:rPr>
      <w:rFonts w:ascii="宋体" w:eastAsia="宋体"/>
      <w:szCs w:val="21"/>
    </w:rPr>
  </w:style>
  <w:style w:type="paragraph" w:customStyle="1" w:styleId="87">
    <w:name w:val="参考文献"/>
    <w:basedOn w:val="1"/>
    <w:next w:val="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8">
    <w:name w:val="标准书眉一"/>
    <w:qFormat/>
    <w:uiPriority w:val="0"/>
    <w:pPr>
      <w:jc w:val="both"/>
    </w:pPr>
    <w:rPr>
      <w:rFonts w:ascii="Times New Roman" w:hAnsi="Times New Roman" w:eastAsia="宋体" w:cs="Times New Roman"/>
      <w:lang w:val="en-US" w:eastAsia="zh-CN" w:bidi="ar-SA"/>
    </w:rPr>
  </w:style>
  <w:style w:type="paragraph" w:customStyle="1" w:styleId="89">
    <w:name w:val="TOC 标题1"/>
    <w:basedOn w:val="2"/>
    <w:next w:val="1"/>
    <w:unhideWhenUsed/>
    <w:qFormat/>
    <w:uiPriority w:val="39"/>
    <w:pPr>
      <w:widowControl/>
      <w:spacing w:after="0" w:line="259" w:lineRule="auto"/>
      <w:outlineLvl w:val="9"/>
    </w:pPr>
    <w:rPr>
      <w:rFonts w:ascii="等线 Light" w:hAnsi="等线 Light" w:eastAsia="等线 Light"/>
      <w:b w:val="0"/>
      <w:bCs w:val="0"/>
      <w:color w:val="2F5496"/>
      <w:kern w:val="0"/>
      <w:szCs w:val="32"/>
    </w:rPr>
  </w:style>
  <w:style w:type="paragraph" w:customStyle="1" w:styleId="90">
    <w:name w:val="其他发布部门"/>
    <w:basedOn w:val="91"/>
    <w:qFormat/>
    <w:uiPriority w:val="0"/>
    <w:pPr>
      <w:framePr w:wrap="around" w:y="15310"/>
      <w:spacing w:line="0" w:lineRule="atLeast"/>
    </w:pPr>
    <w:rPr>
      <w:rFonts w:ascii="黑体" w:eastAsia="黑体"/>
      <w:b w:val="0"/>
    </w:rPr>
  </w:style>
  <w:style w:type="paragraph" w:customStyle="1" w:styleId="91">
    <w:name w:val="发布部门"/>
    <w:next w:val="6"/>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92">
    <w:name w:val="附录图标题"/>
    <w:basedOn w:val="1"/>
    <w:next w:val="6"/>
    <w:qFormat/>
    <w:uiPriority w:val="0"/>
    <w:pPr>
      <w:tabs>
        <w:tab w:val="left" w:pos="363"/>
      </w:tabs>
      <w:spacing w:beforeLines="50" w:afterLines="50"/>
      <w:jc w:val="center"/>
    </w:pPr>
    <w:rPr>
      <w:rFonts w:ascii="黑体" w:eastAsia="黑体"/>
      <w:szCs w:val="21"/>
    </w:rPr>
  </w:style>
  <w:style w:type="paragraph" w:customStyle="1" w:styleId="93">
    <w:name w:val="封面一致性程度标识"/>
    <w:basedOn w:val="79"/>
    <w:qFormat/>
    <w:uiPriority w:val="0"/>
    <w:pPr>
      <w:framePr w:wrap="around"/>
      <w:spacing w:before="440"/>
    </w:pPr>
    <w:rPr>
      <w:rFonts w:ascii="宋体" w:eastAsia="宋体"/>
    </w:rPr>
  </w:style>
  <w:style w:type="paragraph" w:customStyle="1" w:styleId="94">
    <w:name w:val="实施日期"/>
    <w:basedOn w:val="95"/>
    <w:qFormat/>
    <w:uiPriority w:val="0"/>
    <w:pPr>
      <w:framePr w:wrap="around" w:vAnchor="page" w:hAnchor="text"/>
      <w:jc w:val="right"/>
    </w:pPr>
  </w:style>
  <w:style w:type="paragraph" w:customStyle="1" w:styleId="95">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6">
    <w:name w:val="附录字母编号列项（一级）"/>
    <w:qFormat/>
    <w:uiPriority w:val="0"/>
    <w:pPr>
      <w:tabs>
        <w:tab w:val="left" w:pos="839"/>
      </w:tabs>
      <w:ind w:left="839" w:hanging="419"/>
    </w:pPr>
    <w:rPr>
      <w:rFonts w:ascii="宋体" w:hAnsi="Times New Roman" w:eastAsia="宋体" w:cs="Times New Roman"/>
      <w:sz w:val="21"/>
      <w:lang w:val="en-US" w:eastAsia="zh-CN" w:bidi="ar-SA"/>
    </w:rPr>
  </w:style>
  <w:style w:type="paragraph" w:customStyle="1" w:styleId="97">
    <w:name w:val="封面标准英文名称2"/>
    <w:basedOn w:val="79"/>
    <w:qFormat/>
    <w:uiPriority w:val="0"/>
    <w:pPr>
      <w:framePr w:wrap="around" w:y="4469"/>
    </w:pPr>
  </w:style>
  <w:style w:type="paragraph" w:customStyle="1" w:styleId="98">
    <w:name w:val="其他实施日期"/>
    <w:basedOn w:val="94"/>
    <w:qFormat/>
    <w:uiPriority w:val="0"/>
    <w:pPr>
      <w:framePr w:wrap="around"/>
    </w:pPr>
  </w:style>
  <w:style w:type="paragraph" w:customStyle="1" w:styleId="99">
    <w:name w:val="封面正文"/>
    <w:qFormat/>
    <w:uiPriority w:val="0"/>
    <w:pPr>
      <w:jc w:val="both"/>
    </w:pPr>
    <w:rPr>
      <w:rFonts w:ascii="Times New Roman" w:hAnsi="Times New Roman" w:eastAsia="宋体" w:cs="Times New Roman"/>
      <w:lang w:val="en-US" w:eastAsia="zh-CN" w:bidi="ar-SA"/>
    </w:rPr>
  </w:style>
  <w:style w:type="paragraph" w:customStyle="1" w:styleId="100">
    <w:name w:val="四级无"/>
    <w:basedOn w:val="101"/>
    <w:qFormat/>
    <w:uiPriority w:val="0"/>
    <w:pPr>
      <w:spacing w:beforeLines="0" w:afterLines="0"/>
    </w:pPr>
    <w:rPr>
      <w:rFonts w:ascii="宋体" w:eastAsia="宋体"/>
    </w:rPr>
  </w:style>
  <w:style w:type="paragraph" w:customStyle="1" w:styleId="101">
    <w:name w:val="四级条标题"/>
    <w:basedOn w:val="102"/>
    <w:next w:val="6"/>
    <w:qFormat/>
    <w:uiPriority w:val="99"/>
    <w:pPr>
      <w:outlineLvl w:val="5"/>
    </w:pPr>
  </w:style>
  <w:style w:type="paragraph" w:customStyle="1" w:styleId="102">
    <w:name w:val="三级条标题"/>
    <w:basedOn w:val="62"/>
    <w:next w:val="6"/>
    <w:qFormat/>
    <w:uiPriority w:val="99"/>
    <w:pPr>
      <w:outlineLvl w:val="4"/>
    </w:pPr>
    <w:rPr>
      <w:rFonts w:hAnsi="Times New Roman" w:cs="Times New Roman"/>
      <w:kern w:val="0"/>
    </w:rPr>
  </w:style>
  <w:style w:type="paragraph" w:customStyle="1" w:styleId="103">
    <w:name w:val="编号列项（三级）"/>
    <w:qFormat/>
    <w:uiPriority w:val="0"/>
    <w:rPr>
      <w:rFonts w:ascii="宋体" w:hAnsi="Times New Roman" w:eastAsia="宋体" w:cs="Times New Roman"/>
      <w:sz w:val="21"/>
      <w:lang w:val="en-US" w:eastAsia="zh-CN" w:bidi="ar-SA"/>
    </w:rPr>
  </w:style>
  <w:style w:type="paragraph" w:customStyle="1" w:styleId="104">
    <w:name w:val="其他发布日期"/>
    <w:basedOn w:val="95"/>
    <w:qFormat/>
    <w:uiPriority w:val="0"/>
    <w:pPr>
      <w:framePr w:wrap="around" w:vAnchor="page" w:hAnchor="text" w:x="1419"/>
    </w:pPr>
  </w:style>
  <w:style w:type="paragraph" w:customStyle="1" w:styleId="105">
    <w:name w:val="参考文献、索引标题"/>
    <w:basedOn w:val="1"/>
    <w:next w:val="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6">
    <w:name w:val="封面一致性程度标识2"/>
    <w:basedOn w:val="93"/>
    <w:qFormat/>
    <w:uiPriority w:val="0"/>
    <w:pPr>
      <w:framePr w:wrap="around" w:y="4469"/>
    </w:pPr>
  </w:style>
  <w:style w:type="paragraph" w:customStyle="1" w:styleId="107">
    <w:name w:val="封面标准文稿类别"/>
    <w:basedOn w:val="93"/>
    <w:qFormat/>
    <w:uiPriority w:val="0"/>
    <w:pPr>
      <w:framePr w:wrap="around"/>
      <w:spacing w:after="160" w:line="240" w:lineRule="auto"/>
    </w:pPr>
    <w:rPr>
      <w:sz w:val="24"/>
    </w:rPr>
  </w:style>
  <w:style w:type="paragraph" w:customStyle="1" w:styleId="108">
    <w:name w:val="图表脚注说明"/>
    <w:basedOn w:val="1"/>
    <w:qFormat/>
    <w:uiPriority w:val="0"/>
    <w:pPr>
      <w:ind w:left="544" w:hanging="181"/>
    </w:pPr>
    <w:rPr>
      <w:rFonts w:ascii="宋体" w:eastAsia="宋体"/>
      <w:sz w:val="18"/>
      <w:szCs w:val="18"/>
    </w:rPr>
  </w:style>
  <w:style w:type="paragraph" w:customStyle="1" w:styleId="109">
    <w:name w:val="图标脚注说明"/>
    <w:basedOn w:val="6"/>
    <w:qFormat/>
    <w:uiPriority w:val="0"/>
    <w:pPr>
      <w:ind w:left="840" w:hanging="420" w:firstLineChars="0"/>
    </w:pPr>
    <w:rPr>
      <w:sz w:val="18"/>
      <w:szCs w:val="18"/>
    </w:rPr>
  </w:style>
  <w:style w:type="paragraph" w:customStyle="1" w:styleId="110">
    <w:name w:val="字母编号列项（一级）"/>
    <w:qFormat/>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11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12">
    <w:name w:val="二级无"/>
    <w:basedOn w:val="62"/>
    <w:qFormat/>
    <w:uiPriority w:val="0"/>
    <w:pPr>
      <w:spacing w:beforeLines="0" w:afterLines="0"/>
    </w:pPr>
    <w:rPr>
      <w:rFonts w:ascii="宋体" w:hAnsi="Times New Roman" w:eastAsia="宋体" w:cs="Times New Roman"/>
      <w:kern w:val="0"/>
    </w:rPr>
  </w:style>
  <w:style w:type="paragraph" w:customStyle="1" w:styleId="113">
    <w:name w:val="附录四级无"/>
    <w:basedOn w:val="83"/>
    <w:qFormat/>
    <w:uiPriority w:val="0"/>
    <w:pPr>
      <w:tabs>
        <w:tab w:val="clear" w:pos="360"/>
      </w:tabs>
      <w:spacing w:beforeLines="0" w:afterLines="0"/>
    </w:pPr>
    <w:rPr>
      <w:rFonts w:ascii="宋体" w:eastAsia="宋体"/>
      <w:szCs w:val="21"/>
    </w:rPr>
  </w:style>
  <w:style w:type="paragraph" w:customStyle="1" w:styleId="114">
    <w:name w:val="附录图标号"/>
    <w:basedOn w:val="1"/>
    <w:qFormat/>
    <w:uiPriority w:val="0"/>
    <w:pPr>
      <w:keepNext/>
      <w:pageBreakBefore/>
      <w:widowControl/>
      <w:spacing w:line="14" w:lineRule="exact"/>
      <w:ind w:firstLine="363"/>
      <w:jc w:val="center"/>
      <w:outlineLvl w:val="0"/>
    </w:pPr>
    <w:rPr>
      <w:rFonts w:eastAsia="宋体"/>
      <w:color w:val="FFFFFF"/>
      <w:szCs w:val="24"/>
    </w:rPr>
  </w:style>
  <w:style w:type="paragraph" w:customStyle="1" w:styleId="115">
    <w:name w:val="数字编号列项（二级）"/>
    <w:qFormat/>
    <w:uiPriority w:val="0"/>
    <w:pPr>
      <w:tabs>
        <w:tab w:val="left" w:pos="1260"/>
      </w:tabs>
      <w:ind w:left="1259" w:hanging="419"/>
      <w:jc w:val="both"/>
    </w:pPr>
    <w:rPr>
      <w:rFonts w:ascii="宋体" w:hAnsi="Times New Roman" w:eastAsia="宋体" w:cs="Times New Roman"/>
      <w:sz w:val="21"/>
      <w:lang w:val="en-US" w:eastAsia="zh-CN" w:bidi="ar-SA"/>
    </w:rPr>
  </w:style>
  <w:style w:type="paragraph" w:customStyle="1" w:styleId="116">
    <w:name w:val="附录表标号"/>
    <w:basedOn w:val="1"/>
    <w:next w:val="6"/>
    <w:qFormat/>
    <w:uiPriority w:val="0"/>
    <w:pPr>
      <w:spacing w:line="14" w:lineRule="exact"/>
      <w:ind w:left="811" w:hanging="448"/>
      <w:jc w:val="center"/>
      <w:outlineLvl w:val="0"/>
    </w:pPr>
    <w:rPr>
      <w:rFonts w:eastAsia="宋体"/>
      <w:color w:val="FFFFFF"/>
      <w:szCs w:val="24"/>
    </w:rPr>
  </w:style>
  <w:style w:type="paragraph" w:customStyle="1" w:styleId="117">
    <w:name w:val="示例"/>
    <w:next w:val="118"/>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118">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19">
    <w:name w:val="示例后文字"/>
    <w:basedOn w:val="6"/>
    <w:next w:val="6"/>
    <w:qFormat/>
    <w:uiPriority w:val="0"/>
    <w:pPr>
      <w:ind w:firstLine="360"/>
    </w:pPr>
    <w:rPr>
      <w:sz w:val="18"/>
    </w:rPr>
  </w:style>
  <w:style w:type="paragraph" w:customStyle="1" w:styleId="12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1">
    <w:name w:val="注："/>
    <w:next w:val="6"/>
    <w:qFormat/>
    <w:uiPriority w:val="0"/>
    <w:pPr>
      <w:widowControl w:val="0"/>
      <w:autoSpaceDE w:val="0"/>
      <w:autoSpaceDN w:val="0"/>
      <w:ind w:left="363" w:hanging="363"/>
      <w:jc w:val="both"/>
    </w:pPr>
    <w:rPr>
      <w:rFonts w:ascii="宋体" w:hAnsi="Times New Roman" w:eastAsia="宋体" w:cs="Times New Roman"/>
      <w:sz w:val="18"/>
      <w:szCs w:val="18"/>
      <w:lang w:val="en-US" w:eastAsia="zh-CN" w:bidi="ar-SA"/>
    </w:rPr>
  </w:style>
  <w:style w:type="paragraph" w:customStyle="1" w:styleId="122">
    <w:name w:val="前言、引言标题"/>
    <w:next w:val="6"/>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24">
    <w:name w:val="附录标识"/>
    <w:basedOn w:val="1"/>
    <w:next w:val="6"/>
    <w:qFormat/>
    <w:uiPriority w:val="0"/>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25">
    <w:name w:val="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126">
    <w:name w:val="附录表标题"/>
    <w:basedOn w:val="1"/>
    <w:next w:val="6"/>
    <w:qFormat/>
    <w:uiPriority w:val="0"/>
    <w:pPr>
      <w:numPr>
        <w:ilvl w:val="0"/>
        <w:numId w:val="4"/>
      </w:numPr>
      <w:tabs>
        <w:tab w:val="left" w:pos="180"/>
      </w:tabs>
      <w:spacing w:before="50" w:beforeLines="50" w:after="50" w:afterLines="50"/>
      <w:jc w:val="center"/>
    </w:pPr>
    <w:rPr>
      <w:rFonts w:ascii="黑体" w:hAnsi="黑体" w:eastAsia="黑体"/>
      <w:szCs w:val="21"/>
    </w:rPr>
  </w:style>
  <w:style w:type="paragraph" w:customStyle="1" w:styleId="127">
    <w:name w:val="封面标准文稿类别2"/>
    <w:basedOn w:val="107"/>
    <w:qFormat/>
    <w:uiPriority w:val="0"/>
    <w:pPr>
      <w:framePr w:wrap="around" w:y="4469"/>
    </w:pPr>
  </w:style>
  <w:style w:type="paragraph" w:customStyle="1" w:styleId="12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9">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30">
    <w:name w:val="附录数字编号列项（二级）"/>
    <w:qFormat/>
    <w:uiPriority w:val="0"/>
    <w:pPr>
      <w:tabs>
        <w:tab w:val="left" w:pos="840"/>
      </w:tabs>
      <w:ind w:left="839" w:hanging="419"/>
    </w:pPr>
    <w:rPr>
      <w:rFonts w:ascii="宋体" w:hAnsi="Times New Roman" w:eastAsia="宋体" w:cs="Times New Roman"/>
      <w:sz w:val="21"/>
      <w:lang w:val="en-US" w:eastAsia="zh-CN" w:bidi="ar-SA"/>
    </w:rPr>
  </w:style>
  <w:style w:type="paragraph" w:customStyle="1" w:styleId="131">
    <w:name w:val="封面标准文稿编辑信息"/>
    <w:basedOn w:val="107"/>
    <w:qFormat/>
    <w:uiPriority w:val="0"/>
    <w:pPr>
      <w:framePr w:wrap="around"/>
      <w:spacing w:before="180" w:line="180" w:lineRule="exact"/>
    </w:pPr>
    <w:rPr>
      <w:sz w:val="21"/>
    </w:rPr>
  </w:style>
  <w:style w:type="paragraph" w:customStyle="1" w:styleId="132">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33">
    <w:name w:val="三级无"/>
    <w:basedOn w:val="102"/>
    <w:qFormat/>
    <w:uiPriority w:val="0"/>
    <w:pPr>
      <w:spacing w:beforeLines="0" w:afterLines="0"/>
    </w:pPr>
    <w:rPr>
      <w:rFonts w:ascii="宋体" w:eastAsia="宋体"/>
    </w:rPr>
  </w:style>
  <w:style w:type="paragraph" w:customStyle="1" w:styleId="134">
    <w:name w:val="封面标准文稿编辑信息2"/>
    <w:basedOn w:val="131"/>
    <w:qFormat/>
    <w:uiPriority w:val="0"/>
    <w:pPr>
      <w:framePr w:wrap="around" w:y="4469"/>
    </w:pPr>
  </w:style>
  <w:style w:type="paragraph" w:customStyle="1" w:styleId="135">
    <w:name w:val="示例×："/>
    <w:basedOn w:val="5"/>
    <w:qFormat/>
    <w:uiPriority w:val="0"/>
    <w:pPr>
      <w:spacing w:beforeLines="0" w:afterLines="0"/>
      <w:ind w:firstLine="363"/>
      <w:outlineLvl w:val="9"/>
    </w:pPr>
    <w:rPr>
      <w:rFonts w:ascii="宋体" w:eastAsia="宋体"/>
      <w:sz w:val="18"/>
      <w:szCs w:val="18"/>
    </w:rPr>
  </w:style>
  <w:style w:type="paragraph" w:customStyle="1" w:styleId="136">
    <w:name w:val="正文公式编号制表符"/>
    <w:basedOn w:val="6"/>
    <w:next w:val="6"/>
    <w:qFormat/>
    <w:uiPriority w:val="0"/>
    <w:pPr>
      <w:ind w:firstLine="0" w:firstLineChars="0"/>
    </w:pPr>
  </w:style>
  <w:style w:type="paragraph" w:customStyle="1" w:styleId="137">
    <w:name w:val="其他标准标志"/>
    <w:basedOn w:val="123"/>
    <w:qFormat/>
    <w:uiPriority w:val="0"/>
    <w:pPr>
      <w:framePr w:w="6101" w:wrap="around" w:vAnchor="page" w:hAnchor="page" w:x="4673" w:y="942"/>
    </w:pPr>
    <w:rPr>
      <w:w w:val="130"/>
    </w:rPr>
  </w:style>
  <w:style w:type="paragraph" w:customStyle="1" w:styleId="138">
    <w:name w:val="五级无"/>
    <w:basedOn w:val="139"/>
    <w:qFormat/>
    <w:uiPriority w:val="0"/>
    <w:pPr>
      <w:spacing w:beforeLines="0" w:afterLines="0"/>
    </w:pPr>
    <w:rPr>
      <w:rFonts w:ascii="宋体" w:eastAsia="宋体"/>
    </w:rPr>
  </w:style>
  <w:style w:type="paragraph" w:customStyle="1" w:styleId="139">
    <w:name w:val="五级条标题"/>
    <w:basedOn w:val="101"/>
    <w:next w:val="6"/>
    <w:qFormat/>
    <w:uiPriority w:val="99"/>
    <w:pPr>
      <w:outlineLvl w:val="6"/>
    </w:pPr>
  </w:style>
  <w:style w:type="paragraph" w:customStyle="1" w:styleId="140">
    <w:name w:val="附录一级无"/>
    <w:basedOn w:val="77"/>
    <w:qFormat/>
    <w:uiPriority w:val="0"/>
    <w:pPr>
      <w:spacing w:beforeLines="0" w:afterLines="0"/>
    </w:pPr>
    <w:rPr>
      <w:rFonts w:ascii="宋体" w:eastAsia="宋体"/>
      <w:szCs w:val="21"/>
    </w:rPr>
  </w:style>
  <w:style w:type="paragraph" w:customStyle="1" w:styleId="141">
    <w:name w:val="列项●（二级）"/>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142">
    <w:name w:val="一级无"/>
    <w:basedOn w:val="53"/>
    <w:qFormat/>
    <w:uiPriority w:val="0"/>
    <w:pPr>
      <w:spacing w:beforeLines="0" w:afterLines="0"/>
    </w:pPr>
    <w:rPr>
      <w:rFonts w:ascii="宋体" w:eastAsia="宋体"/>
    </w:rPr>
  </w:style>
  <w:style w:type="paragraph" w:customStyle="1" w:styleId="143">
    <w:name w:val="目次、标准名称标题"/>
    <w:basedOn w:val="1"/>
    <w:next w:val="6"/>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44">
    <w:name w:val="列项说明"/>
    <w:basedOn w:val="1"/>
    <w:qFormat/>
    <w:uiPriority w:val="0"/>
    <w:pPr>
      <w:adjustRightInd w:val="0"/>
      <w:spacing w:line="320" w:lineRule="exact"/>
      <w:ind w:left="400" w:leftChars="200" w:hanging="200" w:hangingChars="200"/>
      <w:jc w:val="left"/>
      <w:textAlignment w:val="baseline"/>
    </w:pPr>
    <w:rPr>
      <w:rFonts w:ascii="宋体" w:eastAsia="宋体"/>
      <w:kern w:val="0"/>
      <w:szCs w:val="20"/>
    </w:rPr>
  </w:style>
  <w:style w:type="paragraph" w:customStyle="1" w:styleId="14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46">
    <w:name w:val="列项——（一级）"/>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147">
    <w:name w:val="附录三级无"/>
    <w:basedOn w:val="84"/>
    <w:qFormat/>
    <w:uiPriority w:val="0"/>
    <w:pPr>
      <w:tabs>
        <w:tab w:val="clear" w:pos="360"/>
      </w:tabs>
      <w:spacing w:beforeLines="0" w:afterLines="0"/>
    </w:pPr>
    <w:rPr>
      <w:rFonts w:ascii="宋体" w:eastAsia="宋体"/>
      <w:szCs w:val="21"/>
    </w:rPr>
  </w:style>
  <w:style w:type="paragraph" w:customStyle="1" w:styleId="148">
    <w:name w:val="封面标准名称2"/>
    <w:basedOn w:val="80"/>
    <w:qFormat/>
    <w:uiPriority w:val="0"/>
    <w:pPr>
      <w:framePr w:wrap="around" w:y="4469"/>
      <w:spacing w:beforeLines="630"/>
    </w:pPr>
  </w:style>
  <w:style w:type="paragraph" w:customStyle="1" w:styleId="149">
    <w:name w:val="正文图标题"/>
    <w:next w:val="6"/>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50">
    <w:name w:val="图的脚注"/>
    <w:next w:val="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51">
    <w:name w:val="文献分类号"/>
    <w:qFormat/>
    <w:uiPriority w:val="99"/>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52">
    <w:name w:val="终结线"/>
    <w:basedOn w:val="1"/>
    <w:qFormat/>
    <w:uiPriority w:val="0"/>
    <w:pPr>
      <w:framePr w:hSpace="181" w:vSpace="181" w:wrap="around" w:vAnchor="text" w:hAnchor="margin" w:xAlign="center" w:y="285"/>
    </w:pPr>
    <w:rPr>
      <w:rFonts w:eastAsia="宋体"/>
      <w:szCs w:val="24"/>
    </w:rPr>
  </w:style>
  <w:style w:type="paragraph" w:customStyle="1" w:styleId="153">
    <w:name w:val="标准书眉_偶数页"/>
    <w:basedOn w:val="55"/>
    <w:next w:val="1"/>
    <w:qFormat/>
    <w:uiPriority w:val="0"/>
    <w:pPr>
      <w:jc w:val="left"/>
    </w:pPr>
  </w:style>
  <w:style w:type="paragraph" w:customStyle="1" w:styleId="154">
    <w:name w:val="附录二级无"/>
    <w:basedOn w:val="85"/>
    <w:qFormat/>
    <w:uiPriority w:val="0"/>
    <w:pPr>
      <w:tabs>
        <w:tab w:val="clear" w:pos="360"/>
      </w:tabs>
      <w:spacing w:beforeLines="0" w:afterLines="0"/>
    </w:pPr>
    <w:rPr>
      <w:rFonts w:ascii="宋体" w:eastAsia="宋体"/>
      <w:szCs w:val="21"/>
    </w:rPr>
  </w:style>
  <w:style w:type="paragraph" w:customStyle="1" w:styleId="155">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56">
    <w:name w:val="条文脚注"/>
    <w:basedOn w:val="31"/>
    <w:qFormat/>
    <w:uiPriority w:val="0"/>
    <w:pPr>
      <w:ind w:left="0" w:firstLine="0"/>
      <w:jc w:val="both"/>
    </w:pPr>
  </w:style>
  <w:style w:type="paragraph" w:customStyle="1" w:styleId="157">
    <w:name w:val="附录标题"/>
    <w:basedOn w:val="6"/>
    <w:next w:val="6"/>
    <w:qFormat/>
    <w:uiPriority w:val="0"/>
    <w:pPr>
      <w:ind w:firstLine="0" w:firstLineChars="0"/>
      <w:jc w:val="center"/>
    </w:pPr>
    <w:rPr>
      <w:rFonts w:ascii="黑体" w:eastAsia="黑体"/>
    </w:rPr>
  </w:style>
  <w:style w:type="paragraph" w:customStyle="1" w:styleId="15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59">
    <w:name w:val="正文表标题"/>
    <w:next w:val="6"/>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character" w:styleId="160">
    <w:name w:val="Placeholder Text"/>
    <w:basedOn w:val="41"/>
    <w:unhideWhenUsed/>
    <w:qFormat/>
    <w:uiPriority w:val="99"/>
    <w:rPr>
      <w:color w:val="808080"/>
    </w:rPr>
  </w:style>
  <w:style w:type="character" w:customStyle="1" w:styleId="161">
    <w:name w:val="标题 2 字符"/>
    <w:basedOn w:val="41"/>
    <w:link w:val="3"/>
    <w:qFormat/>
    <w:uiPriority w:val="9"/>
    <w:rPr>
      <w:rFonts w:eastAsia="黑体"/>
      <w:bCs/>
      <w:kern w:val="2"/>
      <w:sz w:val="21"/>
      <w:szCs w:val="24"/>
    </w:rPr>
  </w:style>
  <w:style w:type="paragraph" w:customStyle="1" w:styleId="162">
    <w:name w:val="TOC 标题2"/>
    <w:basedOn w:val="2"/>
    <w:next w:val="1"/>
    <w:semiHidden/>
    <w:unhideWhenUsed/>
    <w:qFormat/>
    <w:uiPriority w:val="39"/>
    <w:pPr>
      <w:widowControl/>
      <w:spacing w:before="480" w:after="0" w:line="276" w:lineRule="auto"/>
      <w:outlineLvl w:val="9"/>
    </w:pPr>
    <w:rPr>
      <w:rFonts w:asciiTheme="majorHAnsi" w:hAnsiTheme="majorHAnsi" w:eastAsiaTheme="majorEastAsia" w:cstheme="majorBidi"/>
      <w:color w:val="376092" w:themeColor="accent1" w:themeShade="BF"/>
      <w:kern w:val="0"/>
      <w:sz w:val="28"/>
      <w:szCs w:val="28"/>
    </w:rPr>
  </w:style>
  <w:style w:type="character" w:customStyle="1" w:styleId="163">
    <w:name w:val="标题 3 字符"/>
    <w:basedOn w:val="41"/>
    <w:link w:val="4"/>
    <w:qFormat/>
    <w:uiPriority w:val="9"/>
    <w:rPr>
      <w:rFonts w:asciiTheme="minorHAnsi" w:hAnsiTheme="minorHAnsi" w:eastAsiaTheme="minorEastAsia" w:cstheme="minorBidi"/>
      <w:bCs/>
      <w:kern w:val="2"/>
      <w:sz w:val="21"/>
      <w:szCs w:val="32"/>
    </w:rPr>
  </w:style>
  <w:style w:type="character" w:customStyle="1" w:styleId="164">
    <w:name w:val="标题 4 字符"/>
    <w:basedOn w:val="41"/>
    <w:link w:val="7"/>
    <w:qFormat/>
    <w:uiPriority w:val="9"/>
    <w:rPr>
      <w:rFonts w:asciiTheme="majorHAnsi" w:hAnsiTheme="majorHAnsi" w:eastAsiaTheme="majorEastAsia" w:cstheme="majorBidi"/>
      <w:bCs/>
      <w:kern w:val="2"/>
      <w:sz w:val="21"/>
      <w:szCs w:val="28"/>
    </w:rPr>
  </w:style>
  <w:style w:type="table" w:customStyle="1" w:styleId="165">
    <w:name w:val="网格型1"/>
    <w:basedOn w:val="39"/>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6">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7">
    <w:name w:val="fontstyle01"/>
    <w:basedOn w:val="41"/>
    <w:qFormat/>
    <w:uiPriority w:val="0"/>
    <w:rPr>
      <w:rFonts w:hint="default" w:ascii="FZSSK--GBK1-0" w:hAnsi="FZSSK--GBK1-0"/>
      <w:color w:val="000000"/>
      <w:sz w:val="20"/>
      <w:szCs w:val="20"/>
    </w:rPr>
  </w:style>
  <w:style w:type="character" w:customStyle="1" w:styleId="168">
    <w:name w:val="fontstyle21"/>
    <w:basedOn w:val="41"/>
    <w:qFormat/>
    <w:uiPriority w:val="0"/>
    <w:rPr>
      <w:rFonts w:hint="default" w:ascii="E-BZ" w:hAnsi="E-BZ"/>
      <w:color w:val="000000"/>
      <w:sz w:val="20"/>
      <w:szCs w:val="20"/>
    </w:rPr>
  </w:style>
  <w:style w:type="character" w:customStyle="1" w:styleId="169">
    <w:name w:val="fontstyle11"/>
    <w:basedOn w:val="41"/>
    <w:qFormat/>
    <w:uiPriority w:val="0"/>
    <w:rPr>
      <w:rFonts w:hint="default" w:ascii="E-BZ" w:hAnsi="E-BZ"/>
      <w:color w:val="000000"/>
      <w:sz w:val="20"/>
      <w:szCs w:val="20"/>
    </w:rPr>
  </w:style>
  <w:style w:type="character" w:customStyle="1" w:styleId="170">
    <w:name w:val="附录章标题 Char"/>
    <w:link w:val="78"/>
    <w:qFormat/>
    <w:uiPriority w:val="0"/>
    <w:rPr>
      <w:rFonts w:ascii="黑体" w:hAnsi="黑体" w:eastAsia="黑体" w:cs="Times New Roman"/>
      <w:kern w:val="21"/>
      <w:sz w:val="21"/>
      <w:lang w:val="en-US" w:eastAsia="zh-CN" w:bidi="ar-SA"/>
    </w:rPr>
  </w:style>
  <w:style w:type="character" w:customStyle="1" w:styleId="171">
    <w:name w:val="附录一级条标题 Char"/>
    <w:link w:val="77"/>
    <w:qFormat/>
    <w:uiPriority w:val="0"/>
    <w:rPr>
      <w:rFonts w:eastAsia="黑体"/>
    </w:rPr>
  </w:style>
  <w:style w:type="paragraph" w:customStyle="1" w:styleId="172">
    <w:name w:val="标准文件_一级项"/>
    <w:qFormat/>
    <w:uiPriority w:val="0"/>
    <w:pPr>
      <w:numPr>
        <w:ilvl w:val="0"/>
        <w:numId w:val="5"/>
      </w:numPr>
    </w:pPr>
    <w:rPr>
      <w:rFonts w:ascii="宋体" w:hAnsi="Times New Roman" w:eastAsia="宋体" w:cs="Times New Roman"/>
      <w:sz w:val="21"/>
      <w:lang w:val="en-US" w:eastAsia="zh-CN" w:bidi="ar-SA"/>
    </w:rPr>
  </w:style>
  <w:style w:type="paragraph" w:customStyle="1" w:styleId="173">
    <w:name w:val="标准文件_附录表标题"/>
    <w:next w:val="174"/>
    <w:qFormat/>
    <w:uiPriority w:val="0"/>
    <w:pPr>
      <w:numPr>
        <w:ilvl w:val="1"/>
        <w:numId w:val="6"/>
      </w:numPr>
      <w:adjustRightInd w:val="0"/>
      <w:snapToGrid w:val="0"/>
      <w:spacing w:before="50" w:beforeLines="50" w:after="50" w:afterLines="50"/>
      <w:ind w:firstLine="420"/>
      <w:jc w:val="center"/>
      <w:textAlignment w:val="baseline"/>
    </w:pPr>
    <w:rPr>
      <w:rFonts w:ascii="黑体" w:hAnsi="黑体" w:eastAsia="黑体" w:cs="Times New Roman"/>
      <w:kern w:val="21"/>
      <w:sz w:val="21"/>
      <w:lang w:val="en-US" w:eastAsia="zh-CN" w:bidi="ar-SA"/>
    </w:rPr>
  </w:style>
  <w:style w:type="paragraph" w:customStyle="1" w:styleId="17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5">
    <w:name w:val="标准文件_附录标识"/>
    <w:next w:val="174"/>
    <w:qFormat/>
    <w:uiPriority w:val="0"/>
    <w:pPr>
      <w:numPr>
        <w:ilvl w:val="0"/>
        <w:numId w:val="7"/>
      </w:numPr>
      <w:shd w:val="clear" w:color="FFFFFF" w:fill="FFFFFF"/>
      <w:tabs>
        <w:tab w:val="left" w:pos="0"/>
        <w:tab w:val="clear" w:pos="6945"/>
      </w:tabs>
      <w:spacing w:before="560" w:after="50" w:afterLines="50"/>
      <w:ind w:left="0"/>
      <w:jc w:val="center"/>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C30707-6177-43E9-90F3-29294D0E5D13}">
  <ds:schemaRefs/>
</ds:datastoreItem>
</file>

<file path=docProps/app.xml><?xml version="1.0" encoding="utf-8"?>
<Properties xmlns="http://schemas.openxmlformats.org/officeDocument/2006/extended-properties" xmlns:vt="http://schemas.openxmlformats.org/officeDocument/2006/docPropsVTypes">
  <Template>Normal</Template>
  <Pages>15</Pages>
  <Words>2893</Words>
  <Characters>3280</Characters>
  <Lines>27</Lines>
  <Paragraphs>7</Paragraphs>
  <TotalTime>3</TotalTime>
  <ScaleCrop>false</ScaleCrop>
  <LinksUpToDate>false</LinksUpToDate>
  <CharactersWithSpaces>3355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2024-12-24T09:32:00Z</dcterms:created>
  <dc:creator>Windows 用户</dc:creator>
  <cp:lastModifiedBy>一夕</cp:lastModifiedBy>
  <cp:lastPrinted>2025-10-14T00:56:00Z</cp:lastPrinted>
  <dcterms:modified xsi:type="dcterms:W3CDTF">2025-11-07T00:41:47Z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DF94F1271E7248AC98A87AC11BC0B3EB_13</vt:lpwstr>
  </property>
  <property fmtid="{D5CDD505-2E9C-101B-9397-08002B2CF9AE}" pid="4" name="KSOTemplateDocerSaveRecord">
    <vt:lpwstr>eyJoZGlkIjoiODBjNDZhNzJmNDBmNWY4MDIxYjQwNzdiZmI4NTVkZTMiLCJ1c2VySWQiOiIzNTM2Nzk1NzYifQ==</vt:lpwstr>
  </property>
</Properties>
</file>